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C3B327" w14:textId="271F92E1" w:rsidR="006D149B" w:rsidRDefault="006C4D79" w:rsidP="00E10D9D">
      <w:pPr>
        <w:pStyle w:val="Heading3"/>
        <w:rPr>
          <w:rtl/>
        </w:rPr>
      </w:pPr>
      <w:r>
        <w:rPr>
          <w:rFonts w:hint="cs"/>
          <w:rtl/>
        </w:rPr>
        <w:t>مسابقة حول التنسيق</w:t>
      </w:r>
    </w:p>
    <w:p w14:paraId="2A144574" w14:textId="3E5D5FB0" w:rsidR="00BB4611" w:rsidRPr="006C4D79" w:rsidRDefault="006C4D79" w:rsidP="00E10D9D">
      <w:pPr>
        <w:spacing w:after="80"/>
      </w:pPr>
      <w:r>
        <w:rPr>
          <w:rFonts w:hint="cs"/>
          <w:rtl/>
        </w:rPr>
        <w:t>هل العبارات التالية ص</w:t>
      </w:r>
      <w:r w:rsidR="002F74CB">
        <w:rPr>
          <w:rFonts w:hint="cs"/>
          <w:rtl/>
        </w:rPr>
        <w:t>واب</w:t>
      </w:r>
      <w:r>
        <w:rPr>
          <w:rFonts w:hint="cs"/>
          <w:rtl/>
        </w:rPr>
        <w:t xml:space="preserve"> أم خطأ؟</w:t>
      </w:r>
    </w:p>
    <w:tbl>
      <w:tblPr>
        <w:bidiVisual/>
        <w:tblW w:w="9322"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817"/>
        <w:gridCol w:w="6662"/>
        <w:gridCol w:w="921"/>
        <w:gridCol w:w="922"/>
      </w:tblGrid>
      <w:tr w:rsidR="00BB4611" w:rsidRPr="00BB4611" w14:paraId="6CE3E336" w14:textId="77777777" w:rsidTr="00BA5A33">
        <w:tc>
          <w:tcPr>
            <w:tcW w:w="817" w:type="dxa"/>
            <w:shd w:val="clear" w:color="auto" w:fill="E9F7CB"/>
          </w:tcPr>
          <w:p w14:paraId="192C598D" w14:textId="77777777" w:rsidR="00BB4611" w:rsidRPr="00BB4611" w:rsidRDefault="00BB4611" w:rsidP="00E10D9D">
            <w:pPr>
              <w:pStyle w:val="tableheading"/>
            </w:pPr>
          </w:p>
        </w:tc>
        <w:tc>
          <w:tcPr>
            <w:tcW w:w="6662" w:type="dxa"/>
            <w:shd w:val="clear" w:color="auto" w:fill="E9F7CB"/>
          </w:tcPr>
          <w:p w14:paraId="0180F57E" w14:textId="6F525158" w:rsidR="00BB4611" w:rsidRPr="006C4D79" w:rsidRDefault="006C4D79" w:rsidP="00E10D9D">
            <w:pPr>
              <w:pStyle w:val="tableheading"/>
            </w:pPr>
            <w:r w:rsidRPr="006C4D79">
              <w:rPr>
                <w:rFonts w:hint="cs"/>
                <w:rtl/>
              </w:rPr>
              <w:t>العبارة</w:t>
            </w:r>
          </w:p>
        </w:tc>
        <w:tc>
          <w:tcPr>
            <w:tcW w:w="921" w:type="dxa"/>
            <w:shd w:val="clear" w:color="auto" w:fill="E9F7CB"/>
          </w:tcPr>
          <w:p w14:paraId="4B569473" w14:textId="19DB909F" w:rsidR="00BB4611" w:rsidRPr="00BB4611" w:rsidRDefault="002F74CB" w:rsidP="00E10D9D">
            <w:pPr>
              <w:pStyle w:val="tableheading"/>
            </w:pPr>
            <w:r>
              <w:rPr>
                <w:rFonts w:hint="cs"/>
                <w:rtl/>
              </w:rPr>
              <w:t>صواب</w:t>
            </w:r>
          </w:p>
        </w:tc>
        <w:tc>
          <w:tcPr>
            <w:tcW w:w="922" w:type="dxa"/>
            <w:shd w:val="clear" w:color="auto" w:fill="E9F7CB"/>
          </w:tcPr>
          <w:p w14:paraId="5389EA07" w14:textId="13C2D485" w:rsidR="00BB4611" w:rsidRPr="00BB4611" w:rsidRDefault="006C4D79" w:rsidP="00E10D9D">
            <w:pPr>
              <w:pStyle w:val="tableheading"/>
            </w:pPr>
            <w:r>
              <w:rPr>
                <w:rFonts w:hint="cs"/>
                <w:rtl/>
              </w:rPr>
              <w:t>خطأ</w:t>
            </w:r>
          </w:p>
        </w:tc>
      </w:tr>
      <w:tr w:rsidR="00BB4611" w14:paraId="4B13B202" w14:textId="77777777" w:rsidTr="00BA5A33">
        <w:tc>
          <w:tcPr>
            <w:tcW w:w="817" w:type="dxa"/>
          </w:tcPr>
          <w:p w14:paraId="652E4129" w14:textId="7A222B76" w:rsidR="00BB4611" w:rsidRPr="00BA5A33" w:rsidRDefault="00BB4611" w:rsidP="00E10D9D">
            <w:pPr>
              <w:pStyle w:val="tableheading"/>
              <w:spacing w:before="80" w:after="80"/>
              <w:rPr>
                <w:sz w:val="28"/>
              </w:rPr>
            </w:pPr>
            <w:r w:rsidRPr="00BA5A33">
              <w:rPr>
                <w:sz w:val="28"/>
              </w:rPr>
              <w:t>1</w:t>
            </w:r>
          </w:p>
        </w:tc>
        <w:tc>
          <w:tcPr>
            <w:tcW w:w="6662" w:type="dxa"/>
          </w:tcPr>
          <w:p w14:paraId="7D907232" w14:textId="03BC8B9B" w:rsidR="00BB4611" w:rsidRPr="006C4D79" w:rsidRDefault="006C4D79" w:rsidP="00E10D9D">
            <w:pPr>
              <w:pStyle w:val="table"/>
              <w:spacing w:before="80" w:after="80"/>
              <w:rPr>
                <w:bCs/>
                <w:lang w:bidi="ar-AE"/>
              </w:rPr>
            </w:pPr>
            <w:r w:rsidRPr="006C4D79">
              <w:rPr>
                <w:rFonts w:hint="cs"/>
                <w:rtl/>
                <w:lang w:bidi="ar-AE"/>
              </w:rPr>
              <w:t xml:space="preserve">من الأهمية </w:t>
            </w:r>
            <w:r w:rsidR="00666C7C">
              <w:rPr>
                <w:rFonts w:hint="cs"/>
                <w:rtl/>
                <w:lang w:bidi="ar-AE"/>
              </w:rPr>
              <w:t>تشاطر</w:t>
            </w:r>
            <w:r w:rsidRPr="006C4D79">
              <w:rPr>
                <w:rFonts w:hint="cs"/>
                <w:rtl/>
                <w:lang w:bidi="ar-AE"/>
              </w:rPr>
              <w:t xml:space="preserve"> معلومات التقييم مع فرق التنسيق ذات الصلة في الوقت المناسب.</w:t>
            </w:r>
          </w:p>
        </w:tc>
        <w:tc>
          <w:tcPr>
            <w:tcW w:w="921" w:type="dxa"/>
          </w:tcPr>
          <w:p w14:paraId="2979D171" w14:textId="6F5330F2" w:rsidR="00BB4611" w:rsidRPr="007D1ADB" w:rsidRDefault="00BB4611" w:rsidP="00E10D9D">
            <w:pPr>
              <w:pStyle w:val="table"/>
              <w:spacing w:before="80" w:after="80"/>
              <w:jc w:val="center"/>
              <w:rPr>
                <w:rFonts w:ascii="Wingdings" w:hAnsi="Wingdings"/>
                <w:color w:val="579305" w:themeColor="accent1"/>
                <w:sz w:val="28"/>
              </w:rPr>
            </w:pPr>
            <w:r w:rsidRPr="007D1ADB">
              <w:rPr>
                <w:rFonts w:ascii="Wingdings" w:hAnsi="Wingdings"/>
                <w:color w:val="579305" w:themeColor="accent1"/>
                <w:sz w:val="28"/>
              </w:rPr>
              <w:t></w:t>
            </w:r>
          </w:p>
        </w:tc>
        <w:tc>
          <w:tcPr>
            <w:tcW w:w="922" w:type="dxa"/>
          </w:tcPr>
          <w:p w14:paraId="41649778" w14:textId="6A6BC722" w:rsidR="00BB4611" w:rsidRDefault="00BB4611" w:rsidP="00E10D9D">
            <w:pPr>
              <w:pStyle w:val="table"/>
              <w:spacing w:before="80" w:after="80"/>
              <w:jc w:val="center"/>
            </w:pPr>
            <w:r w:rsidRPr="007D1ADB">
              <w:rPr>
                <w:rFonts w:ascii="Wingdings" w:hAnsi="Wingdings"/>
                <w:color w:val="579305" w:themeColor="accent1"/>
                <w:sz w:val="28"/>
              </w:rPr>
              <w:t></w:t>
            </w:r>
          </w:p>
        </w:tc>
      </w:tr>
      <w:tr w:rsidR="00BB4611" w14:paraId="0FF5AD12" w14:textId="77777777" w:rsidTr="00BA5A33">
        <w:tc>
          <w:tcPr>
            <w:tcW w:w="817" w:type="dxa"/>
            <w:shd w:val="clear" w:color="auto" w:fill="FAFFEE"/>
          </w:tcPr>
          <w:p w14:paraId="5E3B917A" w14:textId="0BEA453B" w:rsidR="00BB4611" w:rsidRPr="00BA5A33" w:rsidRDefault="00BB4611" w:rsidP="00E10D9D">
            <w:pPr>
              <w:pStyle w:val="tableheading"/>
              <w:spacing w:before="80" w:after="80"/>
              <w:rPr>
                <w:sz w:val="28"/>
              </w:rPr>
            </w:pPr>
            <w:r w:rsidRPr="00BA5A33">
              <w:rPr>
                <w:sz w:val="28"/>
              </w:rPr>
              <w:t>2</w:t>
            </w:r>
          </w:p>
        </w:tc>
        <w:tc>
          <w:tcPr>
            <w:tcW w:w="6662" w:type="dxa"/>
            <w:shd w:val="clear" w:color="auto" w:fill="FAFFEE"/>
          </w:tcPr>
          <w:p w14:paraId="4DA0C148" w14:textId="575227C7" w:rsidR="00BB4611" w:rsidRPr="006C4D79" w:rsidRDefault="006C4D79" w:rsidP="00E10D9D">
            <w:pPr>
              <w:pStyle w:val="table"/>
              <w:spacing w:before="80" w:after="80"/>
              <w:rPr>
                <w:bCs/>
                <w:lang w:bidi="ar-AE"/>
              </w:rPr>
            </w:pPr>
            <w:r w:rsidRPr="006C4D79">
              <w:rPr>
                <w:rFonts w:hint="cs"/>
                <w:rtl/>
                <w:lang w:bidi="ar-AE"/>
              </w:rPr>
              <w:t>التنسيق ينقذ الأرواح.</w:t>
            </w:r>
          </w:p>
        </w:tc>
        <w:tc>
          <w:tcPr>
            <w:tcW w:w="921" w:type="dxa"/>
            <w:shd w:val="clear" w:color="auto" w:fill="FAFFEE"/>
          </w:tcPr>
          <w:p w14:paraId="2B23B6BB" w14:textId="347F4194" w:rsidR="00BB4611" w:rsidRDefault="00BB4611" w:rsidP="00E10D9D">
            <w:pPr>
              <w:pStyle w:val="table"/>
              <w:spacing w:before="80" w:after="80"/>
              <w:jc w:val="center"/>
            </w:pPr>
            <w:r w:rsidRPr="007D1ADB">
              <w:rPr>
                <w:rFonts w:ascii="Wingdings" w:hAnsi="Wingdings"/>
                <w:color w:val="579305" w:themeColor="accent1"/>
                <w:sz w:val="28"/>
              </w:rPr>
              <w:t></w:t>
            </w:r>
          </w:p>
        </w:tc>
        <w:tc>
          <w:tcPr>
            <w:tcW w:w="922" w:type="dxa"/>
            <w:shd w:val="clear" w:color="auto" w:fill="FAFFEE"/>
          </w:tcPr>
          <w:p w14:paraId="1425FA07" w14:textId="11038A3C" w:rsidR="00BB4611" w:rsidRDefault="00BB4611" w:rsidP="00E10D9D">
            <w:pPr>
              <w:pStyle w:val="table"/>
              <w:spacing w:before="80" w:after="80"/>
              <w:jc w:val="center"/>
            </w:pPr>
            <w:r w:rsidRPr="007D1ADB">
              <w:rPr>
                <w:rFonts w:ascii="Wingdings" w:hAnsi="Wingdings"/>
                <w:color w:val="579305" w:themeColor="accent1"/>
                <w:sz w:val="28"/>
              </w:rPr>
              <w:t></w:t>
            </w:r>
          </w:p>
        </w:tc>
      </w:tr>
      <w:tr w:rsidR="00BB4611" w14:paraId="09803BFE" w14:textId="77777777" w:rsidTr="00BA5A33">
        <w:tc>
          <w:tcPr>
            <w:tcW w:w="817" w:type="dxa"/>
          </w:tcPr>
          <w:p w14:paraId="3D8D438C" w14:textId="356EA98C" w:rsidR="00BB4611" w:rsidRPr="00BA5A33" w:rsidRDefault="00BB4611" w:rsidP="00E10D9D">
            <w:pPr>
              <w:pStyle w:val="tableheading"/>
              <w:spacing w:before="80" w:after="80"/>
              <w:rPr>
                <w:sz w:val="28"/>
              </w:rPr>
            </w:pPr>
            <w:r w:rsidRPr="00BA5A33">
              <w:rPr>
                <w:sz w:val="28"/>
              </w:rPr>
              <w:t>3</w:t>
            </w:r>
          </w:p>
        </w:tc>
        <w:tc>
          <w:tcPr>
            <w:tcW w:w="6662" w:type="dxa"/>
          </w:tcPr>
          <w:p w14:paraId="5EFD4CCD" w14:textId="5270793D" w:rsidR="00BB4611" w:rsidRPr="006C4D79" w:rsidRDefault="006C4D79" w:rsidP="00E10D9D">
            <w:pPr>
              <w:pStyle w:val="table"/>
              <w:spacing w:before="80" w:after="80"/>
              <w:rPr>
                <w:bCs/>
                <w:lang w:bidi="ar-AE"/>
              </w:rPr>
            </w:pPr>
            <w:r w:rsidRPr="006C4D79">
              <w:rPr>
                <w:rFonts w:hint="cs"/>
                <w:rtl/>
                <w:lang w:bidi="ar-AE"/>
              </w:rPr>
              <w:t>في حالات الطوارئ، مكتب أوتشا</w:t>
            </w:r>
            <w:r w:rsidR="00383257">
              <w:rPr>
                <w:rFonts w:hint="cs"/>
                <w:rtl/>
                <w:lang w:bidi="ar-AE"/>
              </w:rPr>
              <w:t xml:space="preserve"> هو الذي يقود تنسيق عمليات</w:t>
            </w:r>
            <w:r w:rsidRPr="006C4D79">
              <w:rPr>
                <w:rFonts w:hint="cs"/>
                <w:rtl/>
                <w:lang w:bidi="ar-AE"/>
              </w:rPr>
              <w:t xml:space="preserve"> التدخل الإنساني.</w:t>
            </w:r>
          </w:p>
        </w:tc>
        <w:tc>
          <w:tcPr>
            <w:tcW w:w="921" w:type="dxa"/>
          </w:tcPr>
          <w:p w14:paraId="36783654" w14:textId="7A5B2D6E" w:rsidR="00BB4611" w:rsidRDefault="00BB4611" w:rsidP="00E10D9D">
            <w:pPr>
              <w:pStyle w:val="table"/>
              <w:spacing w:before="80" w:after="80"/>
              <w:jc w:val="center"/>
            </w:pPr>
            <w:r w:rsidRPr="007D1ADB">
              <w:rPr>
                <w:rFonts w:ascii="Wingdings" w:hAnsi="Wingdings"/>
                <w:color w:val="579305" w:themeColor="accent1"/>
                <w:sz w:val="28"/>
              </w:rPr>
              <w:t></w:t>
            </w:r>
          </w:p>
        </w:tc>
        <w:tc>
          <w:tcPr>
            <w:tcW w:w="922" w:type="dxa"/>
          </w:tcPr>
          <w:p w14:paraId="3CC916E6" w14:textId="16EAD504" w:rsidR="00BB4611" w:rsidRDefault="00BB4611" w:rsidP="00E10D9D">
            <w:pPr>
              <w:pStyle w:val="table"/>
              <w:spacing w:before="80" w:after="80"/>
              <w:jc w:val="center"/>
            </w:pPr>
            <w:r w:rsidRPr="007D1ADB">
              <w:rPr>
                <w:rFonts w:ascii="Wingdings" w:hAnsi="Wingdings"/>
                <w:color w:val="579305" w:themeColor="accent1"/>
                <w:sz w:val="28"/>
              </w:rPr>
              <w:t></w:t>
            </w:r>
          </w:p>
        </w:tc>
      </w:tr>
      <w:tr w:rsidR="00BB4611" w14:paraId="646CDE95" w14:textId="77777777" w:rsidTr="00BA5A33">
        <w:tc>
          <w:tcPr>
            <w:tcW w:w="817" w:type="dxa"/>
            <w:shd w:val="clear" w:color="auto" w:fill="FAFFEE"/>
          </w:tcPr>
          <w:p w14:paraId="13E06B04" w14:textId="716B33C7" w:rsidR="00BB4611" w:rsidRPr="00BA5A33" w:rsidRDefault="00BB4611" w:rsidP="00E10D9D">
            <w:pPr>
              <w:pStyle w:val="tableheading"/>
              <w:spacing w:before="80" w:after="80"/>
              <w:rPr>
                <w:sz w:val="28"/>
              </w:rPr>
            </w:pPr>
            <w:r w:rsidRPr="00BA5A33">
              <w:rPr>
                <w:sz w:val="28"/>
              </w:rPr>
              <w:t>4</w:t>
            </w:r>
          </w:p>
        </w:tc>
        <w:tc>
          <w:tcPr>
            <w:tcW w:w="6662" w:type="dxa"/>
            <w:shd w:val="clear" w:color="auto" w:fill="FAFFEE"/>
          </w:tcPr>
          <w:p w14:paraId="178A28DD" w14:textId="1940B8D8" w:rsidR="00BB4611" w:rsidRPr="006C4D79" w:rsidRDefault="006C4D79" w:rsidP="002854D6">
            <w:pPr>
              <w:pStyle w:val="table"/>
              <w:spacing w:before="80" w:after="80"/>
              <w:rPr>
                <w:bCs/>
                <w:lang w:bidi="ar-AE"/>
              </w:rPr>
            </w:pPr>
            <w:r w:rsidRPr="006C4D79">
              <w:rPr>
                <w:rtl/>
                <w:lang w:bidi="ar-AE"/>
              </w:rPr>
              <w:t xml:space="preserve">من الأفضل </w:t>
            </w:r>
            <w:r w:rsidR="00383257">
              <w:rPr>
                <w:rFonts w:hint="cs"/>
                <w:rtl/>
                <w:lang w:bidi="ar-AE"/>
              </w:rPr>
              <w:t>أن ت</w:t>
            </w:r>
            <w:r w:rsidRPr="006C4D79">
              <w:rPr>
                <w:rFonts w:hint="cs"/>
                <w:rtl/>
                <w:lang w:bidi="ar-AE"/>
              </w:rPr>
              <w:t xml:space="preserve">قوم </w:t>
            </w:r>
            <w:r w:rsidRPr="006C4D79">
              <w:rPr>
                <w:rtl/>
                <w:lang w:bidi="ar-AE"/>
              </w:rPr>
              <w:t xml:space="preserve">كل وكالة بتحليلها </w:t>
            </w:r>
            <w:r w:rsidRPr="006C4D79">
              <w:rPr>
                <w:rFonts w:hint="cs"/>
                <w:rtl/>
                <w:lang w:bidi="ar-AE"/>
              </w:rPr>
              <w:t xml:space="preserve">الخاص </w:t>
            </w:r>
            <w:r w:rsidRPr="006C4D79">
              <w:rPr>
                <w:rtl/>
                <w:lang w:bidi="ar-AE"/>
              </w:rPr>
              <w:t>للوضع الإنساني و</w:t>
            </w:r>
            <w:r w:rsidRPr="006C4D79">
              <w:rPr>
                <w:rFonts w:hint="cs"/>
                <w:rtl/>
                <w:lang w:bidi="ar-AE"/>
              </w:rPr>
              <w:t xml:space="preserve">تختار </w:t>
            </w:r>
            <w:r w:rsidR="002854D6" w:rsidRPr="006C4D79">
              <w:rPr>
                <w:rtl/>
                <w:lang w:bidi="ar-AE"/>
              </w:rPr>
              <w:t xml:space="preserve">بمفردها </w:t>
            </w:r>
            <w:r w:rsidRPr="006C4D79">
              <w:rPr>
                <w:rtl/>
                <w:lang w:bidi="ar-AE"/>
              </w:rPr>
              <w:t xml:space="preserve">المنطقة الجغرافية لخطة الاستجابة </w:t>
            </w:r>
            <w:r w:rsidRPr="006C4D79">
              <w:rPr>
                <w:rFonts w:hint="cs"/>
                <w:rtl/>
                <w:lang w:bidi="ar-AE"/>
              </w:rPr>
              <w:t xml:space="preserve">الخاصة بها </w:t>
            </w:r>
            <w:r w:rsidRPr="006C4D79">
              <w:rPr>
                <w:rtl/>
                <w:lang w:bidi="ar-AE"/>
              </w:rPr>
              <w:t>نظراً لأننا لا نستطيع الاعتماد على الآخرين لل</w:t>
            </w:r>
            <w:r w:rsidRPr="006C4D79">
              <w:rPr>
                <w:rFonts w:hint="cs"/>
                <w:rtl/>
                <w:lang w:bidi="ar-AE"/>
              </w:rPr>
              <w:t xml:space="preserve">استجابة </w:t>
            </w:r>
            <w:r w:rsidRPr="006C4D79">
              <w:rPr>
                <w:rtl/>
                <w:lang w:bidi="ar-AE"/>
              </w:rPr>
              <w:t xml:space="preserve">بنفس الطريقة </w:t>
            </w:r>
            <w:r w:rsidRPr="006C4D79">
              <w:rPr>
                <w:rFonts w:hint="cs"/>
                <w:rtl/>
                <w:lang w:bidi="ar-AE"/>
              </w:rPr>
              <w:t>التي نريدها</w:t>
            </w:r>
            <w:r w:rsidRPr="006C4D79">
              <w:rPr>
                <w:rtl/>
                <w:lang w:bidi="ar-AE"/>
              </w:rPr>
              <w:t>.</w:t>
            </w:r>
          </w:p>
        </w:tc>
        <w:tc>
          <w:tcPr>
            <w:tcW w:w="921" w:type="dxa"/>
            <w:shd w:val="clear" w:color="auto" w:fill="FAFFEE"/>
          </w:tcPr>
          <w:p w14:paraId="2A4E527F" w14:textId="0BAE7672" w:rsidR="00BB4611" w:rsidRDefault="00BB4611" w:rsidP="00E10D9D">
            <w:pPr>
              <w:pStyle w:val="table"/>
              <w:spacing w:before="80" w:after="80"/>
              <w:jc w:val="center"/>
            </w:pPr>
            <w:r w:rsidRPr="007D1ADB">
              <w:rPr>
                <w:rFonts w:ascii="Wingdings" w:hAnsi="Wingdings"/>
                <w:color w:val="579305" w:themeColor="accent1"/>
                <w:sz w:val="28"/>
              </w:rPr>
              <w:t></w:t>
            </w:r>
          </w:p>
        </w:tc>
        <w:tc>
          <w:tcPr>
            <w:tcW w:w="922" w:type="dxa"/>
            <w:shd w:val="clear" w:color="auto" w:fill="FAFFEE"/>
          </w:tcPr>
          <w:p w14:paraId="19BF8C0F" w14:textId="3F02BC05" w:rsidR="00BB4611" w:rsidRDefault="00BB4611" w:rsidP="00E10D9D">
            <w:pPr>
              <w:pStyle w:val="table"/>
              <w:spacing w:before="80" w:after="80"/>
              <w:jc w:val="center"/>
            </w:pPr>
            <w:r w:rsidRPr="007D1ADB">
              <w:rPr>
                <w:rFonts w:ascii="Wingdings" w:hAnsi="Wingdings"/>
                <w:color w:val="579305" w:themeColor="accent1"/>
                <w:sz w:val="28"/>
              </w:rPr>
              <w:t></w:t>
            </w:r>
          </w:p>
        </w:tc>
      </w:tr>
      <w:tr w:rsidR="00BB4611" w14:paraId="59DA6D4E" w14:textId="77777777" w:rsidTr="00BA5A33">
        <w:tc>
          <w:tcPr>
            <w:tcW w:w="817" w:type="dxa"/>
          </w:tcPr>
          <w:p w14:paraId="0B3A7033" w14:textId="38AE43EB" w:rsidR="00BB4611" w:rsidRPr="00BA5A33" w:rsidRDefault="00BB4611" w:rsidP="00E10D9D">
            <w:pPr>
              <w:pStyle w:val="tableheading"/>
              <w:spacing w:before="80" w:after="80"/>
              <w:rPr>
                <w:sz w:val="28"/>
              </w:rPr>
            </w:pPr>
            <w:r w:rsidRPr="00BA5A33">
              <w:rPr>
                <w:sz w:val="28"/>
              </w:rPr>
              <w:t>5</w:t>
            </w:r>
          </w:p>
        </w:tc>
        <w:tc>
          <w:tcPr>
            <w:tcW w:w="6662" w:type="dxa"/>
          </w:tcPr>
          <w:p w14:paraId="3FA3F0BE" w14:textId="618EE30A" w:rsidR="00BB4611" w:rsidRPr="006C4D79" w:rsidRDefault="006C4D79" w:rsidP="00E10D9D">
            <w:pPr>
              <w:pStyle w:val="table"/>
              <w:spacing w:before="80" w:after="80"/>
              <w:rPr>
                <w:bCs/>
                <w:lang w:bidi="ar-AE"/>
              </w:rPr>
            </w:pPr>
            <w:r w:rsidRPr="006C4D79">
              <w:rPr>
                <w:rFonts w:hint="cs"/>
                <w:rtl/>
                <w:lang w:bidi="ar-AE"/>
              </w:rPr>
              <w:t>يستطيع أي شخص من أي منظمة حضور اجتماع التنسيق، الأمر المهم هو أن يتم تمثيل المنظمة.</w:t>
            </w:r>
          </w:p>
        </w:tc>
        <w:tc>
          <w:tcPr>
            <w:tcW w:w="921" w:type="dxa"/>
          </w:tcPr>
          <w:p w14:paraId="0F57711C" w14:textId="4ED24894" w:rsidR="00BB4611" w:rsidRDefault="00BB4611" w:rsidP="00E10D9D">
            <w:pPr>
              <w:pStyle w:val="table"/>
              <w:spacing w:before="80" w:after="80"/>
              <w:jc w:val="center"/>
            </w:pPr>
            <w:r w:rsidRPr="007D1ADB">
              <w:rPr>
                <w:rFonts w:ascii="Wingdings" w:hAnsi="Wingdings"/>
                <w:color w:val="579305" w:themeColor="accent1"/>
                <w:sz w:val="28"/>
              </w:rPr>
              <w:t></w:t>
            </w:r>
          </w:p>
        </w:tc>
        <w:tc>
          <w:tcPr>
            <w:tcW w:w="922" w:type="dxa"/>
          </w:tcPr>
          <w:p w14:paraId="289AE89C" w14:textId="7437422F" w:rsidR="00BB4611" w:rsidRDefault="00BB4611" w:rsidP="00E10D9D">
            <w:pPr>
              <w:pStyle w:val="table"/>
              <w:spacing w:before="80" w:after="80"/>
              <w:jc w:val="center"/>
            </w:pPr>
            <w:r w:rsidRPr="007D1ADB">
              <w:rPr>
                <w:rFonts w:ascii="Wingdings" w:hAnsi="Wingdings"/>
                <w:color w:val="579305" w:themeColor="accent1"/>
                <w:sz w:val="28"/>
              </w:rPr>
              <w:t></w:t>
            </w:r>
          </w:p>
        </w:tc>
      </w:tr>
      <w:tr w:rsidR="00BB4611" w14:paraId="6C4D7B38" w14:textId="77777777" w:rsidTr="00BA5A33">
        <w:tc>
          <w:tcPr>
            <w:tcW w:w="817" w:type="dxa"/>
            <w:shd w:val="clear" w:color="auto" w:fill="FAFFEE"/>
          </w:tcPr>
          <w:p w14:paraId="7DF00A90" w14:textId="10705422" w:rsidR="00BB4611" w:rsidRPr="00BA5A33" w:rsidRDefault="00BB4611" w:rsidP="00E10D9D">
            <w:pPr>
              <w:pStyle w:val="tableheading"/>
              <w:spacing w:before="80" w:after="80"/>
              <w:rPr>
                <w:sz w:val="28"/>
              </w:rPr>
            </w:pPr>
            <w:r w:rsidRPr="00BA5A33">
              <w:rPr>
                <w:sz w:val="28"/>
              </w:rPr>
              <w:t>6</w:t>
            </w:r>
          </w:p>
        </w:tc>
        <w:tc>
          <w:tcPr>
            <w:tcW w:w="6662" w:type="dxa"/>
            <w:shd w:val="clear" w:color="auto" w:fill="FAFFEE"/>
          </w:tcPr>
          <w:p w14:paraId="2BA031DD" w14:textId="79BF2B70" w:rsidR="00BB4611" w:rsidRPr="006C4D79" w:rsidRDefault="006C4D79" w:rsidP="00E10D9D">
            <w:pPr>
              <w:pStyle w:val="table"/>
              <w:spacing w:before="80" w:after="80"/>
              <w:rPr>
                <w:bCs/>
                <w:lang w:bidi="ar-AE"/>
              </w:rPr>
            </w:pPr>
            <w:r w:rsidRPr="006C4D79">
              <w:rPr>
                <w:rFonts w:hint="cs"/>
                <w:rtl/>
                <w:lang w:bidi="ar-AE"/>
              </w:rPr>
              <w:t>في حين أنه ينبغي تنسيق تقديم الخدمة الإنسانية، إلا أن الدعوة ينبغي أن تقوم بها كل منظمة بمفردها.</w:t>
            </w:r>
          </w:p>
        </w:tc>
        <w:tc>
          <w:tcPr>
            <w:tcW w:w="921" w:type="dxa"/>
            <w:shd w:val="clear" w:color="auto" w:fill="FAFFEE"/>
          </w:tcPr>
          <w:p w14:paraId="3BA5ADAC" w14:textId="06F2FEE9" w:rsidR="00BB4611" w:rsidRDefault="00BB4611" w:rsidP="00E10D9D">
            <w:pPr>
              <w:pStyle w:val="table"/>
              <w:spacing w:before="80" w:after="80"/>
              <w:jc w:val="center"/>
            </w:pPr>
            <w:r w:rsidRPr="007D1ADB">
              <w:rPr>
                <w:rFonts w:ascii="Wingdings" w:hAnsi="Wingdings"/>
                <w:color w:val="579305" w:themeColor="accent1"/>
                <w:sz w:val="28"/>
              </w:rPr>
              <w:t></w:t>
            </w:r>
          </w:p>
        </w:tc>
        <w:tc>
          <w:tcPr>
            <w:tcW w:w="922" w:type="dxa"/>
            <w:shd w:val="clear" w:color="auto" w:fill="FAFFEE"/>
          </w:tcPr>
          <w:p w14:paraId="5E0476C6" w14:textId="3329F19C" w:rsidR="00BB4611" w:rsidRDefault="00BB4611" w:rsidP="00E10D9D">
            <w:pPr>
              <w:pStyle w:val="table"/>
              <w:spacing w:before="80" w:after="80"/>
              <w:jc w:val="center"/>
            </w:pPr>
            <w:r w:rsidRPr="007D1ADB">
              <w:rPr>
                <w:rFonts w:ascii="Wingdings" w:hAnsi="Wingdings"/>
                <w:color w:val="579305" w:themeColor="accent1"/>
                <w:sz w:val="28"/>
              </w:rPr>
              <w:t></w:t>
            </w:r>
          </w:p>
        </w:tc>
      </w:tr>
      <w:tr w:rsidR="00BB4611" w14:paraId="0AB7A1CA" w14:textId="77777777" w:rsidTr="00BA5A33">
        <w:tc>
          <w:tcPr>
            <w:tcW w:w="817" w:type="dxa"/>
          </w:tcPr>
          <w:p w14:paraId="28682D5B" w14:textId="405853F3" w:rsidR="00BB4611" w:rsidRPr="00BA5A33" w:rsidRDefault="00BB4611" w:rsidP="00E10D9D">
            <w:pPr>
              <w:pStyle w:val="tableheading"/>
              <w:spacing w:before="80" w:after="80"/>
              <w:rPr>
                <w:sz w:val="28"/>
              </w:rPr>
            </w:pPr>
            <w:r w:rsidRPr="00BA5A33">
              <w:rPr>
                <w:sz w:val="28"/>
              </w:rPr>
              <w:t>7</w:t>
            </w:r>
          </w:p>
        </w:tc>
        <w:tc>
          <w:tcPr>
            <w:tcW w:w="6662" w:type="dxa"/>
          </w:tcPr>
          <w:p w14:paraId="737D05C2" w14:textId="4A3C7842" w:rsidR="00BB4611" w:rsidRPr="006C4D79" w:rsidRDefault="006C4D79" w:rsidP="00E10D9D">
            <w:pPr>
              <w:pStyle w:val="table"/>
              <w:spacing w:before="80" w:after="80"/>
              <w:rPr>
                <w:bCs/>
                <w:lang w:bidi="ar-AE"/>
              </w:rPr>
            </w:pPr>
            <w:r>
              <w:rPr>
                <w:rFonts w:hint="cs"/>
                <w:rtl/>
                <w:lang w:bidi="ar-AE"/>
              </w:rPr>
              <w:t>من ال</w:t>
            </w:r>
            <w:r w:rsidR="007F525C">
              <w:rPr>
                <w:rFonts w:hint="cs"/>
                <w:rtl/>
                <w:lang w:bidi="ar-AE"/>
              </w:rPr>
              <w:t>أهمية إبلاغ مجموعة</w:t>
            </w:r>
            <w:r>
              <w:rPr>
                <w:rFonts w:hint="cs"/>
                <w:rtl/>
                <w:lang w:bidi="ar-AE"/>
              </w:rPr>
              <w:t xml:space="preserve"> التنسيق ليس </w:t>
            </w:r>
            <w:r w:rsidR="007F525C">
              <w:rPr>
                <w:rFonts w:hint="cs"/>
                <w:rtl/>
                <w:lang w:bidi="ar-AE"/>
              </w:rPr>
              <w:t>ب</w:t>
            </w:r>
            <w:r>
              <w:rPr>
                <w:rFonts w:hint="cs"/>
                <w:rtl/>
                <w:lang w:bidi="ar-AE"/>
              </w:rPr>
              <w:t>ما يتعلق بالتقدم الذي تحرزه منظمتي في التنفيذ</w:t>
            </w:r>
            <w:r w:rsidR="007F525C">
              <w:rPr>
                <w:rFonts w:hint="cs"/>
                <w:rtl/>
                <w:lang w:bidi="ar-AE"/>
              </w:rPr>
              <w:t xml:space="preserve"> فقط</w:t>
            </w:r>
            <w:r>
              <w:rPr>
                <w:rFonts w:hint="cs"/>
                <w:rtl/>
                <w:lang w:bidi="ar-AE"/>
              </w:rPr>
              <w:t>، بل أي تأخيرات كبيرة أيضاً.</w:t>
            </w:r>
          </w:p>
        </w:tc>
        <w:tc>
          <w:tcPr>
            <w:tcW w:w="921" w:type="dxa"/>
          </w:tcPr>
          <w:p w14:paraId="1E52CB68" w14:textId="6B26B3A7" w:rsidR="00BB4611" w:rsidRDefault="00BB4611" w:rsidP="00E10D9D">
            <w:pPr>
              <w:pStyle w:val="table"/>
              <w:spacing w:before="80" w:after="80"/>
              <w:jc w:val="center"/>
            </w:pPr>
            <w:r w:rsidRPr="007D1ADB">
              <w:rPr>
                <w:rFonts w:ascii="Wingdings" w:hAnsi="Wingdings"/>
                <w:color w:val="579305" w:themeColor="accent1"/>
                <w:sz w:val="28"/>
              </w:rPr>
              <w:t></w:t>
            </w:r>
          </w:p>
        </w:tc>
        <w:tc>
          <w:tcPr>
            <w:tcW w:w="922" w:type="dxa"/>
          </w:tcPr>
          <w:p w14:paraId="695205DB" w14:textId="46C70088" w:rsidR="00BB4611" w:rsidRDefault="00BB4611" w:rsidP="00E10D9D">
            <w:pPr>
              <w:pStyle w:val="table"/>
              <w:spacing w:before="80" w:after="80"/>
              <w:jc w:val="center"/>
            </w:pPr>
            <w:r w:rsidRPr="007D1ADB">
              <w:rPr>
                <w:rFonts w:ascii="Wingdings" w:hAnsi="Wingdings"/>
                <w:color w:val="579305" w:themeColor="accent1"/>
                <w:sz w:val="28"/>
              </w:rPr>
              <w:t></w:t>
            </w:r>
          </w:p>
        </w:tc>
      </w:tr>
      <w:tr w:rsidR="00BB4611" w14:paraId="6E71B52C" w14:textId="77777777" w:rsidTr="00BA5A33">
        <w:tc>
          <w:tcPr>
            <w:tcW w:w="817" w:type="dxa"/>
            <w:shd w:val="clear" w:color="auto" w:fill="FAFFEE"/>
          </w:tcPr>
          <w:p w14:paraId="15CDC62A" w14:textId="17996294" w:rsidR="00BB4611" w:rsidRPr="00BA5A33" w:rsidRDefault="00BB4611" w:rsidP="00E10D9D">
            <w:pPr>
              <w:pStyle w:val="tableheading"/>
              <w:spacing w:before="80" w:after="80"/>
              <w:rPr>
                <w:sz w:val="28"/>
              </w:rPr>
            </w:pPr>
            <w:r w:rsidRPr="00BA5A33">
              <w:rPr>
                <w:sz w:val="28"/>
              </w:rPr>
              <w:t>8</w:t>
            </w:r>
          </w:p>
        </w:tc>
        <w:tc>
          <w:tcPr>
            <w:tcW w:w="6662" w:type="dxa"/>
            <w:shd w:val="clear" w:color="auto" w:fill="FAFFEE"/>
          </w:tcPr>
          <w:p w14:paraId="41C68631" w14:textId="79354CF0" w:rsidR="00BB4611" w:rsidRPr="006C4D79" w:rsidRDefault="007F525C" w:rsidP="00E10D9D">
            <w:pPr>
              <w:pStyle w:val="table"/>
              <w:spacing w:before="80" w:after="80"/>
              <w:rPr>
                <w:bCs/>
                <w:lang w:bidi="ar-AE"/>
              </w:rPr>
            </w:pPr>
            <w:r>
              <w:rPr>
                <w:rFonts w:hint="cs"/>
                <w:rtl/>
                <w:lang w:bidi="ar-AE"/>
              </w:rPr>
              <w:t>لا يمكن استخدام دليل اسفير كأداة تنسيق لأنه ليس ملكاً لمنظمة واحدة.</w:t>
            </w:r>
          </w:p>
        </w:tc>
        <w:tc>
          <w:tcPr>
            <w:tcW w:w="921" w:type="dxa"/>
            <w:shd w:val="clear" w:color="auto" w:fill="FAFFEE"/>
          </w:tcPr>
          <w:p w14:paraId="7816EE66" w14:textId="5B6C4CC7" w:rsidR="00BB4611" w:rsidRDefault="00BB4611" w:rsidP="00E10D9D">
            <w:pPr>
              <w:pStyle w:val="table"/>
              <w:spacing w:before="80" w:after="80"/>
              <w:jc w:val="center"/>
            </w:pPr>
            <w:r w:rsidRPr="007D1ADB">
              <w:rPr>
                <w:rFonts w:ascii="Wingdings" w:hAnsi="Wingdings"/>
                <w:color w:val="579305" w:themeColor="accent1"/>
                <w:sz w:val="28"/>
              </w:rPr>
              <w:t></w:t>
            </w:r>
          </w:p>
        </w:tc>
        <w:tc>
          <w:tcPr>
            <w:tcW w:w="922" w:type="dxa"/>
            <w:shd w:val="clear" w:color="auto" w:fill="FAFFEE"/>
          </w:tcPr>
          <w:p w14:paraId="22C4AEC6" w14:textId="64CA534B" w:rsidR="00BB4611" w:rsidRDefault="00BB4611" w:rsidP="00E10D9D">
            <w:pPr>
              <w:pStyle w:val="table"/>
              <w:spacing w:before="80" w:after="80"/>
              <w:jc w:val="center"/>
            </w:pPr>
            <w:r w:rsidRPr="007D1ADB">
              <w:rPr>
                <w:rFonts w:ascii="Wingdings" w:hAnsi="Wingdings"/>
                <w:color w:val="579305" w:themeColor="accent1"/>
                <w:sz w:val="28"/>
              </w:rPr>
              <w:t></w:t>
            </w:r>
          </w:p>
        </w:tc>
      </w:tr>
      <w:tr w:rsidR="00BB4611" w14:paraId="761DA8D6" w14:textId="77777777" w:rsidTr="00BA5A33">
        <w:tc>
          <w:tcPr>
            <w:tcW w:w="817" w:type="dxa"/>
          </w:tcPr>
          <w:p w14:paraId="079B6D4C" w14:textId="72677E50" w:rsidR="00BB4611" w:rsidRPr="00BA5A33" w:rsidRDefault="00BB4611" w:rsidP="00E10D9D">
            <w:pPr>
              <w:pStyle w:val="tableheading"/>
              <w:spacing w:before="80" w:after="80"/>
              <w:rPr>
                <w:sz w:val="28"/>
              </w:rPr>
            </w:pPr>
            <w:r w:rsidRPr="00BA5A33">
              <w:rPr>
                <w:sz w:val="28"/>
              </w:rPr>
              <w:t>9</w:t>
            </w:r>
          </w:p>
        </w:tc>
        <w:tc>
          <w:tcPr>
            <w:tcW w:w="6662" w:type="dxa"/>
          </w:tcPr>
          <w:p w14:paraId="1B40519F" w14:textId="36BA2815" w:rsidR="00BB4611" w:rsidRPr="006C4D79" w:rsidRDefault="007F525C" w:rsidP="00E10D9D">
            <w:pPr>
              <w:pStyle w:val="table"/>
              <w:spacing w:before="80" w:after="80"/>
              <w:rPr>
                <w:bCs/>
                <w:lang w:bidi="ar-AE"/>
              </w:rPr>
            </w:pPr>
            <w:r>
              <w:rPr>
                <w:rFonts w:hint="cs"/>
                <w:rtl/>
                <w:lang w:bidi="ar-AE"/>
              </w:rPr>
              <w:t>يمكن استخدام دليل اسفير كأداة تنسيق، ولكن بين المنظمات غير الحكومية فقط.</w:t>
            </w:r>
          </w:p>
        </w:tc>
        <w:tc>
          <w:tcPr>
            <w:tcW w:w="921" w:type="dxa"/>
          </w:tcPr>
          <w:p w14:paraId="0D880553" w14:textId="063D856A" w:rsidR="00BB4611" w:rsidRDefault="00BB4611" w:rsidP="00E10D9D">
            <w:pPr>
              <w:pStyle w:val="table"/>
              <w:spacing w:before="80" w:after="80"/>
              <w:jc w:val="center"/>
            </w:pPr>
            <w:r w:rsidRPr="007D1ADB">
              <w:rPr>
                <w:rFonts w:ascii="Wingdings" w:hAnsi="Wingdings"/>
                <w:color w:val="579305" w:themeColor="accent1"/>
                <w:sz w:val="28"/>
              </w:rPr>
              <w:t></w:t>
            </w:r>
          </w:p>
        </w:tc>
        <w:tc>
          <w:tcPr>
            <w:tcW w:w="922" w:type="dxa"/>
          </w:tcPr>
          <w:p w14:paraId="3640FC59" w14:textId="0133F47A" w:rsidR="00BB4611" w:rsidRDefault="00BB4611" w:rsidP="00E10D9D">
            <w:pPr>
              <w:pStyle w:val="table"/>
              <w:spacing w:before="80" w:after="80"/>
              <w:jc w:val="center"/>
            </w:pPr>
            <w:r w:rsidRPr="007D1ADB">
              <w:rPr>
                <w:rFonts w:ascii="Wingdings" w:hAnsi="Wingdings"/>
                <w:color w:val="579305" w:themeColor="accent1"/>
                <w:sz w:val="28"/>
              </w:rPr>
              <w:t></w:t>
            </w:r>
          </w:p>
        </w:tc>
      </w:tr>
      <w:tr w:rsidR="00BB4611" w14:paraId="12BA754B" w14:textId="77777777" w:rsidTr="00BA5A33">
        <w:tc>
          <w:tcPr>
            <w:tcW w:w="817" w:type="dxa"/>
            <w:shd w:val="clear" w:color="auto" w:fill="FAFFEE"/>
          </w:tcPr>
          <w:p w14:paraId="14626F25" w14:textId="0765A5E6" w:rsidR="00BB4611" w:rsidRPr="00BA5A33" w:rsidRDefault="00BB4611" w:rsidP="00E10D9D">
            <w:pPr>
              <w:pStyle w:val="tableheading"/>
              <w:spacing w:before="80" w:after="80"/>
              <w:rPr>
                <w:sz w:val="28"/>
              </w:rPr>
            </w:pPr>
            <w:r w:rsidRPr="00BA5A33">
              <w:rPr>
                <w:sz w:val="28"/>
              </w:rPr>
              <w:t>10</w:t>
            </w:r>
          </w:p>
        </w:tc>
        <w:tc>
          <w:tcPr>
            <w:tcW w:w="6662" w:type="dxa"/>
            <w:shd w:val="clear" w:color="auto" w:fill="FAFFEE"/>
          </w:tcPr>
          <w:p w14:paraId="6AE31705" w14:textId="1F67A206" w:rsidR="00BB4611" w:rsidRPr="006C4D79" w:rsidRDefault="007F525C" w:rsidP="00E10D9D">
            <w:pPr>
              <w:pStyle w:val="table"/>
              <w:spacing w:before="80" w:after="80"/>
              <w:rPr>
                <w:bCs/>
                <w:lang w:bidi="ar-AE"/>
              </w:rPr>
            </w:pPr>
            <w:r>
              <w:rPr>
                <w:rFonts w:hint="cs"/>
                <w:rtl/>
                <w:lang w:bidi="ar-AE"/>
              </w:rPr>
              <w:t>في حين أن التنسيق يتم في الغالب داخل قطاع محدد، إلا أنه ينبغي مشاركة المعلومات المناسبة بين القطاعات.</w:t>
            </w:r>
          </w:p>
        </w:tc>
        <w:tc>
          <w:tcPr>
            <w:tcW w:w="921" w:type="dxa"/>
            <w:shd w:val="clear" w:color="auto" w:fill="FAFFEE"/>
          </w:tcPr>
          <w:p w14:paraId="24F70FA2" w14:textId="41368BF1" w:rsidR="00BB4611" w:rsidRDefault="00BB4611" w:rsidP="00E10D9D">
            <w:pPr>
              <w:pStyle w:val="table"/>
              <w:spacing w:before="80" w:after="80"/>
              <w:jc w:val="center"/>
            </w:pPr>
            <w:r w:rsidRPr="007D1ADB">
              <w:rPr>
                <w:rFonts w:ascii="Wingdings" w:hAnsi="Wingdings"/>
                <w:color w:val="579305" w:themeColor="accent1"/>
                <w:sz w:val="28"/>
              </w:rPr>
              <w:t></w:t>
            </w:r>
          </w:p>
        </w:tc>
        <w:tc>
          <w:tcPr>
            <w:tcW w:w="922" w:type="dxa"/>
            <w:shd w:val="clear" w:color="auto" w:fill="FAFFEE"/>
          </w:tcPr>
          <w:p w14:paraId="351F7439" w14:textId="64A3690D" w:rsidR="00BB4611" w:rsidRDefault="00BB4611" w:rsidP="00E10D9D">
            <w:pPr>
              <w:pStyle w:val="table"/>
              <w:spacing w:before="80" w:after="80"/>
              <w:jc w:val="center"/>
            </w:pPr>
            <w:r w:rsidRPr="007D1ADB">
              <w:rPr>
                <w:rFonts w:ascii="Wingdings" w:hAnsi="Wingdings"/>
                <w:color w:val="579305" w:themeColor="accent1"/>
                <w:sz w:val="28"/>
              </w:rPr>
              <w:t></w:t>
            </w:r>
          </w:p>
        </w:tc>
      </w:tr>
      <w:tr w:rsidR="00BB4611" w14:paraId="4795E72A" w14:textId="77777777" w:rsidTr="00BA5A33">
        <w:tc>
          <w:tcPr>
            <w:tcW w:w="817" w:type="dxa"/>
          </w:tcPr>
          <w:p w14:paraId="27EF8BA0" w14:textId="619A0C25" w:rsidR="00BB4611" w:rsidRPr="00BA5A33" w:rsidRDefault="00BB4611" w:rsidP="00E10D9D">
            <w:pPr>
              <w:pStyle w:val="tableheading"/>
              <w:spacing w:before="80" w:after="80"/>
              <w:rPr>
                <w:sz w:val="28"/>
              </w:rPr>
            </w:pPr>
            <w:r w:rsidRPr="00BA5A33">
              <w:rPr>
                <w:sz w:val="28"/>
              </w:rPr>
              <w:t>11</w:t>
            </w:r>
          </w:p>
        </w:tc>
        <w:tc>
          <w:tcPr>
            <w:tcW w:w="6662" w:type="dxa"/>
          </w:tcPr>
          <w:p w14:paraId="163275C5" w14:textId="1F7359BE" w:rsidR="00BB4611" w:rsidRPr="006C4D79" w:rsidRDefault="007F525C" w:rsidP="00E10D9D">
            <w:pPr>
              <w:pStyle w:val="table"/>
              <w:spacing w:before="80" w:after="80"/>
              <w:rPr>
                <w:bCs/>
                <w:lang w:bidi="ar-AE"/>
              </w:rPr>
            </w:pPr>
            <w:r>
              <w:rPr>
                <w:rFonts w:hint="cs"/>
                <w:rtl/>
                <w:lang w:bidi="ar-AE"/>
              </w:rPr>
              <w:t>نهج المجموعات هو مجموعة من وكالات الأمم المتحدة التي تعمل في حالة الطوارئ.</w:t>
            </w:r>
          </w:p>
        </w:tc>
        <w:tc>
          <w:tcPr>
            <w:tcW w:w="921" w:type="dxa"/>
          </w:tcPr>
          <w:p w14:paraId="28DCD0E6" w14:textId="6C020E7B" w:rsidR="00BB4611" w:rsidRDefault="00BB4611" w:rsidP="00E10D9D">
            <w:pPr>
              <w:pStyle w:val="table"/>
              <w:spacing w:before="80" w:after="80"/>
              <w:jc w:val="center"/>
            </w:pPr>
            <w:r w:rsidRPr="007D1ADB">
              <w:rPr>
                <w:rFonts w:ascii="Wingdings" w:hAnsi="Wingdings"/>
                <w:color w:val="579305" w:themeColor="accent1"/>
                <w:sz w:val="28"/>
              </w:rPr>
              <w:t></w:t>
            </w:r>
          </w:p>
        </w:tc>
        <w:tc>
          <w:tcPr>
            <w:tcW w:w="922" w:type="dxa"/>
          </w:tcPr>
          <w:p w14:paraId="3A46C239" w14:textId="25F28111" w:rsidR="00BB4611" w:rsidRDefault="00BB4611" w:rsidP="00E10D9D">
            <w:pPr>
              <w:pStyle w:val="table"/>
              <w:spacing w:before="80" w:after="80"/>
              <w:jc w:val="center"/>
            </w:pPr>
            <w:r w:rsidRPr="007D1ADB">
              <w:rPr>
                <w:rFonts w:ascii="Wingdings" w:hAnsi="Wingdings"/>
                <w:color w:val="579305" w:themeColor="accent1"/>
                <w:sz w:val="28"/>
              </w:rPr>
              <w:t></w:t>
            </w:r>
          </w:p>
        </w:tc>
      </w:tr>
      <w:tr w:rsidR="00BB4611" w14:paraId="0FFA1282" w14:textId="77777777" w:rsidTr="00BA5A33">
        <w:tc>
          <w:tcPr>
            <w:tcW w:w="817" w:type="dxa"/>
            <w:shd w:val="clear" w:color="auto" w:fill="FAFFEE"/>
          </w:tcPr>
          <w:p w14:paraId="572D6FB2" w14:textId="6DD0CBFE" w:rsidR="00BB4611" w:rsidRPr="00BA5A33" w:rsidRDefault="00BB4611" w:rsidP="00E10D9D">
            <w:pPr>
              <w:pStyle w:val="tableheading"/>
              <w:spacing w:before="80" w:after="80"/>
              <w:rPr>
                <w:sz w:val="28"/>
              </w:rPr>
            </w:pPr>
            <w:r w:rsidRPr="00BA5A33">
              <w:rPr>
                <w:sz w:val="28"/>
              </w:rPr>
              <w:t>12</w:t>
            </w:r>
          </w:p>
        </w:tc>
        <w:tc>
          <w:tcPr>
            <w:tcW w:w="6662" w:type="dxa"/>
            <w:shd w:val="clear" w:color="auto" w:fill="FAFFEE"/>
          </w:tcPr>
          <w:p w14:paraId="5CD203A8" w14:textId="10BAED96" w:rsidR="00BB4611" w:rsidRPr="006C4D79" w:rsidRDefault="007F525C" w:rsidP="00E10D9D">
            <w:pPr>
              <w:pStyle w:val="table"/>
              <w:spacing w:before="80" w:after="80"/>
              <w:rPr>
                <w:bCs/>
                <w:lang w:bidi="ar-AE"/>
              </w:rPr>
            </w:pPr>
            <w:r w:rsidRPr="007F525C">
              <w:rPr>
                <w:rtl/>
                <w:lang w:bidi="ar-AE"/>
              </w:rPr>
              <w:t>إذا جلب</w:t>
            </w:r>
            <w:r>
              <w:rPr>
                <w:rFonts w:hint="cs"/>
                <w:rtl/>
                <w:lang w:bidi="ar-AE"/>
              </w:rPr>
              <w:t>ت</w:t>
            </w:r>
            <w:r w:rsidRPr="007F525C">
              <w:rPr>
                <w:rtl/>
                <w:lang w:bidi="ar-AE"/>
              </w:rPr>
              <w:t xml:space="preserve"> قوات عسكرية </w:t>
            </w:r>
            <w:r>
              <w:rPr>
                <w:rtl/>
                <w:lang w:bidi="ar-AE"/>
              </w:rPr>
              <w:t>خبر</w:t>
            </w:r>
            <w:r w:rsidR="00ED61A3">
              <w:rPr>
                <w:rFonts w:hint="cs"/>
                <w:rtl/>
                <w:lang w:bidi="ar-AE"/>
              </w:rPr>
              <w:t>ات</w:t>
            </w:r>
            <w:r>
              <w:rPr>
                <w:rtl/>
                <w:lang w:bidi="ar-AE"/>
              </w:rPr>
              <w:t xml:space="preserve"> و</w:t>
            </w:r>
            <w:r w:rsidRPr="007F525C">
              <w:rPr>
                <w:rtl/>
                <w:lang w:bidi="ar-AE"/>
              </w:rPr>
              <w:t>موارد</w:t>
            </w:r>
            <w:r>
              <w:rPr>
                <w:rFonts w:hint="cs"/>
                <w:rtl/>
                <w:lang w:bidi="ar-AE"/>
              </w:rPr>
              <w:t xml:space="preserve"> </w:t>
            </w:r>
            <w:r w:rsidR="00ED61A3">
              <w:rPr>
                <w:rFonts w:hint="cs"/>
                <w:rtl/>
                <w:lang w:bidi="ar-AE"/>
              </w:rPr>
              <w:t>معينة</w:t>
            </w:r>
            <w:r w:rsidRPr="007F525C">
              <w:rPr>
                <w:rtl/>
                <w:lang w:bidi="ar-AE"/>
              </w:rPr>
              <w:t xml:space="preserve"> – بما في ذلك </w:t>
            </w:r>
            <w:r>
              <w:rPr>
                <w:rFonts w:hint="cs"/>
                <w:rtl/>
                <w:lang w:bidi="ar-AE"/>
              </w:rPr>
              <w:t xml:space="preserve">في مجال </w:t>
            </w:r>
            <w:r w:rsidRPr="007F525C">
              <w:rPr>
                <w:rtl/>
                <w:lang w:bidi="ar-AE"/>
              </w:rPr>
              <w:t xml:space="preserve">الأمن، والخدمات اللوجستية، والنقل والاتصالات في </w:t>
            </w:r>
            <w:r>
              <w:rPr>
                <w:rFonts w:hint="cs"/>
                <w:rtl/>
                <w:lang w:bidi="ar-AE"/>
              </w:rPr>
              <w:t>ال</w:t>
            </w:r>
            <w:r w:rsidRPr="007F525C">
              <w:rPr>
                <w:rtl/>
                <w:lang w:bidi="ar-AE"/>
              </w:rPr>
              <w:t>استجابة ل</w:t>
            </w:r>
            <w:r>
              <w:rPr>
                <w:rFonts w:hint="cs"/>
                <w:rtl/>
                <w:lang w:bidi="ar-AE"/>
              </w:rPr>
              <w:t xml:space="preserve">حالة </w:t>
            </w:r>
            <w:r>
              <w:rPr>
                <w:rtl/>
                <w:lang w:bidi="ar-AE"/>
              </w:rPr>
              <w:t>طوارئ-</w:t>
            </w:r>
            <w:r>
              <w:rPr>
                <w:rFonts w:hint="cs"/>
                <w:rtl/>
                <w:lang w:bidi="ar-AE"/>
              </w:rPr>
              <w:t xml:space="preserve"> </w:t>
            </w:r>
            <w:r w:rsidRPr="007F525C">
              <w:rPr>
                <w:rtl/>
                <w:lang w:bidi="ar-AE"/>
              </w:rPr>
              <w:t xml:space="preserve">لا توجد </w:t>
            </w:r>
            <w:r>
              <w:rPr>
                <w:rFonts w:hint="cs"/>
                <w:rtl/>
                <w:lang w:bidi="ar-AE"/>
              </w:rPr>
              <w:t xml:space="preserve">هناك </w:t>
            </w:r>
            <w:r w:rsidRPr="007F525C">
              <w:rPr>
                <w:rtl/>
                <w:lang w:bidi="ar-AE"/>
              </w:rPr>
              <w:t xml:space="preserve">مشكلة </w:t>
            </w:r>
            <w:r>
              <w:rPr>
                <w:rFonts w:hint="cs"/>
                <w:rtl/>
                <w:lang w:bidi="ar-AE"/>
              </w:rPr>
              <w:t>في ال</w:t>
            </w:r>
            <w:r w:rsidRPr="007F525C">
              <w:rPr>
                <w:rtl/>
                <w:lang w:bidi="ar-AE"/>
              </w:rPr>
              <w:t>تنس</w:t>
            </w:r>
            <w:r>
              <w:rPr>
                <w:rFonts w:hint="cs"/>
                <w:rtl/>
                <w:lang w:bidi="ar-AE"/>
              </w:rPr>
              <w:t>ي</w:t>
            </w:r>
            <w:r w:rsidRPr="007F525C">
              <w:rPr>
                <w:rtl/>
                <w:lang w:bidi="ar-AE"/>
              </w:rPr>
              <w:t xml:space="preserve">ق </w:t>
            </w:r>
            <w:r>
              <w:rPr>
                <w:rFonts w:hint="cs"/>
                <w:rtl/>
                <w:lang w:bidi="ar-AE"/>
              </w:rPr>
              <w:t xml:space="preserve">الصريح </w:t>
            </w:r>
            <w:r w:rsidRPr="007F525C">
              <w:rPr>
                <w:rtl/>
                <w:lang w:bidi="ar-AE"/>
              </w:rPr>
              <w:t>معهم.</w:t>
            </w:r>
          </w:p>
        </w:tc>
        <w:tc>
          <w:tcPr>
            <w:tcW w:w="921" w:type="dxa"/>
            <w:shd w:val="clear" w:color="auto" w:fill="FAFFEE"/>
          </w:tcPr>
          <w:p w14:paraId="7FE33638" w14:textId="634E30BB" w:rsidR="00BB4611" w:rsidRDefault="00BB4611" w:rsidP="00E10D9D">
            <w:pPr>
              <w:pStyle w:val="table"/>
              <w:spacing w:before="80" w:after="80"/>
              <w:jc w:val="center"/>
            </w:pPr>
            <w:r w:rsidRPr="007D1ADB">
              <w:rPr>
                <w:rFonts w:ascii="Wingdings" w:hAnsi="Wingdings"/>
                <w:color w:val="579305" w:themeColor="accent1"/>
                <w:sz w:val="28"/>
              </w:rPr>
              <w:t></w:t>
            </w:r>
          </w:p>
        </w:tc>
        <w:tc>
          <w:tcPr>
            <w:tcW w:w="922" w:type="dxa"/>
            <w:shd w:val="clear" w:color="auto" w:fill="FAFFEE"/>
          </w:tcPr>
          <w:p w14:paraId="4AA3FBA7" w14:textId="49B061AE" w:rsidR="00BB4611" w:rsidRDefault="00BB4611" w:rsidP="00E10D9D">
            <w:pPr>
              <w:pStyle w:val="table"/>
              <w:spacing w:before="80" w:after="80"/>
              <w:jc w:val="center"/>
            </w:pPr>
            <w:r w:rsidRPr="007D1ADB">
              <w:rPr>
                <w:rFonts w:ascii="Wingdings" w:hAnsi="Wingdings"/>
                <w:color w:val="579305" w:themeColor="accent1"/>
                <w:sz w:val="28"/>
              </w:rPr>
              <w:t></w:t>
            </w:r>
          </w:p>
        </w:tc>
      </w:tr>
      <w:tr w:rsidR="00BB4611" w14:paraId="3219EC97" w14:textId="77777777" w:rsidTr="00BA5A33">
        <w:tc>
          <w:tcPr>
            <w:tcW w:w="817" w:type="dxa"/>
          </w:tcPr>
          <w:p w14:paraId="280158E1" w14:textId="7E2EC655" w:rsidR="00BB4611" w:rsidRPr="00BA5A33" w:rsidRDefault="00BB4611" w:rsidP="00E10D9D">
            <w:pPr>
              <w:pStyle w:val="tableheading"/>
              <w:spacing w:before="80" w:after="80"/>
              <w:rPr>
                <w:sz w:val="28"/>
              </w:rPr>
            </w:pPr>
            <w:r w:rsidRPr="00BA5A33">
              <w:rPr>
                <w:sz w:val="28"/>
              </w:rPr>
              <w:t>13</w:t>
            </w:r>
          </w:p>
        </w:tc>
        <w:tc>
          <w:tcPr>
            <w:tcW w:w="6662" w:type="dxa"/>
          </w:tcPr>
          <w:p w14:paraId="07A4BABB" w14:textId="07A1B6FE" w:rsidR="00BB4611" w:rsidRPr="006C4D79" w:rsidRDefault="007F525C" w:rsidP="00E10D9D">
            <w:pPr>
              <w:pStyle w:val="table"/>
              <w:spacing w:before="80" w:after="80"/>
              <w:rPr>
                <w:bCs/>
                <w:lang w:bidi="ar-AE"/>
              </w:rPr>
            </w:pPr>
            <w:r>
              <w:rPr>
                <w:rFonts w:hint="cs"/>
                <w:rtl/>
                <w:lang w:bidi="ar-AE"/>
              </w:rPr>
              <w:t>من الأهمية تعزيز الممارسات الإنسانية الجيدة مع القطاع ا</w:t>
            </w:r>
            <w:r w:rsidR="002854D6">
              <w:rPr>
                <w:rFonts w:hint="cs"/>
                <w:rtl/>
                <w:lang w:bidi="ar-AE"/>
              </w:rPr>
              <w:t>لخاص عندما يشارك في الاستجابة في ح</w:t>
            </w:r>
            <w:r>
              <w:rPr>
                <w:rFonts w:hint="cs"/>
                <w:rtl/>
                <w:lang w:bidi="ar-AE"/>
              </w:rPr>
              <w:t>الات الطوارئ.</w:t>
            </w:r>
          </w:p>
        </w:tc>
        <w:tc>
          <w:tcPr>
            <w:tcW w:w="921" w:type="dxa"/>
          </w:tcPr>
          <w:p w14:paraId="559C3F92" w14:textId="2637ADF3" w:rsidR="00BB4611" w:rsidRDefault="00BB4611" w:rsidP="00E10D9D">
            <w:pPr>
              <w:pStyle w:val="table"/>
              <w:spacing w:before="80" w:after="80"/>
              <w:jc w:val="center"/>
            </w:pPr>
            <w:r w:rsidRPr="007D1ADB">
              <w:rPr>
                <w:rFonts w:ascii="Wingdings" w:hAnsi="Wingdings"/>
                <w:color w:val="579305" w:themeColor="accent1"/>
                <w:sz w:val="28"/>
              </w:rPr>
              <w:t></w:t>
            </w:r>
          </w:p>
        </w:tc>
        <w:tc>
          <w:tcPr>
            <w:tcW w:w="922" w:type="dxa"/>
          </w:tcPr>
          <w:p w14:paraId="663FA13F" w14:textId="4119177F" w:rsidR="00BB4611" w:rsidRDefault="00BB4611" w:rsidP="00E10D9D">
            <w:pPr>
              <w:pStyle w:val="table"/>
              <w:spacing w:before="80" w:after="80"/>
              <w:jc w:val="center"/>
            </w:pPr>
            <w:r w:rsidRPr="007D1ADB">
              <w:rPr>
                <w:rFonts w:ascii="Wingdings" w:hAnsi="Wingdings"/>
                <w:color w:val="579305" w:themeColor="accent1"/>
                <w:sz w:val="28"/>
              </w:rPr>
              <w:t></w:t>
            </w:r>
          </w:p>
        </w:tc>
      </w:tr>
    </w:tbl>
    <w:p w14:paraId="2E2748CF" w14:textId="4ABB83BC" w:rsidR="00D966B6" w:rsidRPr="00BB4611" w:rsidRDefault="00144E38" w:rsidP="00E10D9D">
      <w:pPr>
        <w:pStyle w:val="Heading3"/>
        <w:spacing w:after="80"/>
      </w:pPr>
      <w:r>
        <w:rPr>
          <w:rFonts w:hint="cs"/>
          <w:rtl/>
        </w:rPr>
        <w:lastRenderedPageBreak/>
        <w:t>إجابات الأسئلة الخاصة بالتنسيق</w:t>
      </w:r>
    </w:p>
    <w:tbl>
      <w:tblPr>
        <w:bidiVisual/>
        <w:tblW w:w="9606"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675"/>
        <w:gridCol w:w="6237"/>
        <w:gridCol w:w="2694"/>
      </w:tblGrid>
      <w:tr w:rsidR="00417D21" w:rsidRPr="00BA5A33" w14:paraId="18283FC6" w14:textId="488EDE14" w:rsidTr="00417D21">
        <w:trPr>
          <w:cantSplit/>
          <w:tblHeader/>
        </w:trPr>
        <w:tc>
          <w:tcPr>
            <w:tcW w:w="675" w:type="dxa"/>
            <w:shd w:val="clear" w:color="auto" w:fill="E9F7CB"/>
          </w:tcPr>
          <w:p w14:paraId="3420F0B6" w14:textId="77777777" w:rsidR="00D966B6" w:rsidRPr="00BA5A33" w:rsidRDefault="00D966B6" w:rsidP="00BA5A33">
            <w:pPr>
              <w:pStyle w:val="tableheading"/>
            </w:pPr>
          </w:p>
        </w:tc>
        <w:tc>
          <w:tcPr>
            <w:tcW w:w="6237" w:type="dxa"/>
            <w:shd w:val="clear" w:color="auto" w:fill="E9F7CB"/>
          </w:tcPr>
          <w:p w14:paraId="6EBF42D7" w14:textId="41F8D120" w:rsidR="00D966B6" w:rsidRPr="00BA5A33" w:rsidRDefault="00144E38" w:rsidP="00BA5A33">
            <w:pPr>
              <w:pStyle w:val="tableheading"/>
              <w:rPr>
                <w:rtl/>
              </w:rPr>
            </w:pPr>
            <w:r w:rsidRPr="00BA5A33">
              <w:rPr>
                <w:rFonts w:hint="cs"/>
                <w:rtl/>
              </w:rPr>
              <w:t>الإجابة</w:t>
            </w:r>
          </w:p>
        </w:tc>
        <w:tc>
          <w:tcPr>
            <w:tcW w:w="2694" w:type="dxa"/>
            <w:shd w:val="clear" w:color="auto" w:fill="E9F7CB"/>
          </w:tcPr>
          <w:p w14:paraId="2BEA7990" w14:textId="0527526A" w:rsidR="00D966B6" w:rsidRPr="00BA5A33" w:rsidRDefault="00144E38" w:rsidP="00BA5A33">
            <w:pPr>
              <w:pStyle w:val="tableheading"/>
            </w:pPr>
            <w:r w:rsidRPr="00BA5A33">
              <w:rPr>
                <w:rFonts w:hint="cs"/>
                <w:rtl/>
              </w:rPr>
              <w:t>المصدر</w:t>
            </w:r>
          </w:p>
        </w:tc>
      </w:tr>
      <w:tr w:rsidR="007D466E" w:rsidRPr="00BA5A33" w14:paraId="4A964EE9" w14:textId="5D464A0D" w:rsidTr="00417D21">
        <w:trPr>
          <w:cantSplit/>
        </w:trPr>
        <w:tc>
          <w:tcPr>
            <w:tcW w:w="675" w:type="dxa"/>
          </w:tcPr>
          <w:p w14:paraId="5B235908" w14:textId="77777777" w:rsidR="00D966B6" w:rsidRPr="00BA5A33" w:rsidRDefault="00D966B6" w:rsidP="00BA5A33">
            <w:pPr>
              <w:pStyle w:val="tableheading"/>
              <w:rPr>
                <w:sz w:val="28"/>
              </w:rPr>
            </w:pPr>
            <w:r w:rsidRPr="00BA5A33">
              <w:rPr>
                <w:sz w:val="28"/>
              </w:rPr>
              <w:t>1</w:t>
            </w:r>
          </w:p>
        </w:tc>
        <w:tc>
          <w:tcPr>
            <w:tcW w:w="6237" w:type="dxa"/>
          </w:tcPr>
          <w:p w14:paraId="761B7A65" w14:textId="2A1C8EE7" w:rsidR="00D966B6" w:rsidRPr="00BA5A33" w:rsidRDefault="002F74CB" w:rsidP="00BA5A33">
            <w:pPr>
              <w:pStyle w:val="table"/>
            </w:pPr>
            <w:r w:rsidRPr="00BA5A33">
              <w:rPr>
                <w:rFonts w:hint="cs"/>
                <w:rtl/>
              </w:rPr>
              <w:t>صواب</w:t>
            </w:r>
            <w:r w:rsidR="00666C7C" w:rsidRPr="00BA5A33">
              <w:rPr>
                <w:rFonts w:hint="cs"/>
                <w:rtl/>
              </w:rPr>
              <w:t>: من الأهمية تشاطر المعلومات بطريقة سهلة الاستخدام من قبل الوكالات الإنسانية الأخرى.</w:t>
            </w:r>
          </w:p>
        </w:tc>
        <w:tc>
          <w:tcPr>
            <w:tcW w:w="2694" w:type="dxa"/>
          </w:tcPr>
          <w:p w14:paraId="6C93AC29" w14:textId="62EA1B52" w:rsidR="00D966B6" w:rsidRPr="00BA5A33" w:rsidRDefault="00666C7C" w:rsidP="00BA5A33">
            <w:pPr>
              <w:pStyle w:val="table"/>
            </w:pPr>
            <w:r w:rsidRPr="00BA5A33">
              <w:rPr>
                <w:rFonts w:hint="cs"/>
                <w:rtl/>
              </w:rPr>
              <w:t>المعيار الأساسي رقم</w:t>
            </w:r>
            <w:r w:rsidR="00D01404" w:rsidRPr="00BA5A33">
              <w:rPr>
                <w:rFonts w:hint="cs"/>
                <w:rtl/>
              </w:rPr>
              <w:t xml:space="preserve"> </w:t>
            </w:r>
            <w:r w:rsidRPr="00BA5A33">
              <w:rPr>
                <w:rFonts w:hint="cs"/>
                <w:rtl/>
              </w:rPr>
              <w:t xml:space="preserve">2، </w:t>
            </w:r>
            <w:r w:rsidR="00D01404" w:rsidRPr="00BA5A33">
              <w:rPr>
                <w:rFonts w:hint="cs"/>
                <w:rtl/>
              </w:rPr>
              <w:t xml:space="preserve">التدبير الأساسي </w:t>
            </w:r>
            <w:r w:rsidRPr="00BA5A33">
              <w:rPr>
                <w:rFonts w:hint="cs"/>
                <w:rtl/>
              </w:rPr>
              <w:t>رقم 4، ص. 5</w:t>
            </w:r>
            <w:r w:rsidR="00D01404" w:rsidRPr="00BA5A33">
              <w:rPr>
                <w:rFonts w:hint="cs"/>
                <w:rtl/>
              </w:rPr>
              <w:t>4</w:t>
            </w:r>
          </w:p>
        </w:tc>
      </w:tr>
      <w:tr w:rsidR="007D466E" w:rsidRPr="00BA5A33" w14:paraId="369B7930" w14:textId="7840A01F" w:rsidTr="00417D21">
        <w:trPr>
          <w:cantSplit/>
        </w:trPr>
        <w:tc>
          <w:tcPr>
            <w:tcW w:w="675" w:type="dxa"/>
            <w:shd w:val="clear" w:color="auto" w:fill="FAFFEE"/>
          </w:tcPr>
          <w:p w14:paraId="035E26ED" w14:textId="77777777" w:rsidR="007D466E" w:rsidRPr="00BA5A33" w:rsidRDefault="007D466E" w:rsidP="00BA5A33">
            <w:pPr>
              <w:pStyle w:val="tableheading"/>
              <w:rPr>
                <w:sz w:val="28"/>
              </w:rPr>
            </w:pPr>
            <w:r w:rsidRPr="00BA5A33">
              <w:rPr>
                <w:sz w:val="28"/>
              </w:rPr>
              <w:t>2</w:t>
            </w:r>
          </w:p>
        </w:tc>
        <w:tc>
          <w:tcPr>
            <w:tcW w:w="6237" w:type="dxa"/>
            <w:shd w:val="clear" w:color="auto" w:fill="FAFFEE"/>
          </w:tcPr>
          <w:p w14:paraId="4E080340" w14:textId="6954DCAC" w:rsidR="007D466E" w:rsidRPr="00BA5A33" w:rsidRDefault="002F74CB" w:rsidP="00BA5A33">
            <w:pPr>
              <w:pStyle w:val="table"/>
              <w:rPr>
                <w:rtl/>
              </w:rPr>
            </w:pPr>
            <w:r w:rsidRPr="00BA5A33">
              <w:rPr>
                <w:rFonts w:hint="cs"/>
                <w:rtl/>
              </w:rPr>
              <w:t>صواب</w:t>
            </w:r>
            <w:r w:rsidR="00666C7C" w:rsidRPr="00BA5A33">
              <w:rPr>
                <w:rFonts w:hint="cs"/>
                <w:rtl/>
              </w:rPr>
              <w:t>: "</w:t>
            </w:r>
            <w:r w:rsidR="00666C7C" w:rsidRPr="00BA5A33">
              <w:rPr>
                <w:rtl/>
              </w:rPr>
              <w:t>التنسيق الفعال هو المضاعف ال</w:t>
            </w:r>
            <w:r w:rsidR="00666C7C" w:rsidRPr="00BA5A33">
              <w:rPr>
                <w:rFonts w:hint="cs"/>
                <w:rtl/>
              </w:rPr>
              <w:t>خفي لل</w:t>
            </w:r>
            <w:r w:rsidR="00666C7C" w:rsidRPr="00BA5A33">
              <w:rPr>
                <w:rtl/>
              </w:rPr>
              <w:t xml:space="preserve">قوة في الاستجابة لحالات الطوارئ. </w:t>
            </w:r>
            <w:r w:rsidR="00666C7C" w:rsidRPr="00BA5A33">
              <w:rPr>
                <w:rFonts w:hint="cs"/>
                <w:rtl/>
              </w:rPr>
              <w:t xml:space="preserve">في وجود </w:t>
            </w:r>
            <w:r w:rsidR="00666C7C" w:rsidRPr="00BA5A33">
              <w:rPr>
                <w:rtl/>
              </w:rPr>
              <w:t>التنسيق، واحد زائد واحد زائد واحد لا يساوي ثلاثة</w:t>
            </w:r>
            <w:r w:rsidR="00666C7C" w:rsidRPr="00BA5A33">
              <w:rPr>
                <w:rFonts w:hint="cs"/>
                <w:rtl/>
              </w:rPr>
              <w:t>،</w:t>
            </w:r>
            <w:r w:rsidR="00666C7C" w:rsidRPr="00BA5A33">
              <w:rPr>
                <w:rtl/>
              </w:rPr>
              <w:t xml:space="preserve"> </w:t>
            </w:r>
            <w:r w:rsidR="00666C7C" w:rsidRPr="00BA5A33">
              <w:rPr>
                <w:rFonts w:hint="cs"/>
                <w:rtl/>
              </w:rPr>
              <w:t xml:space="preserve">بل </w:t>
            </w:r>
            <w:r w:rsidR="00666C7C" w:rsidRPr="00BA5A33">
              <w:rPr>
                <w:rtl/>
              </w:rPr>
              <w:t xml:space="preserve">يساوي خمسة، أو عشرة. إنه يقلل من الازدواجية والتنافس، ويسمح لمختلف الوكالات والمنظمات </w:t>
            </w:r>
            <w:r w:rsidR="00666C7C" w:rsidRPr="00BA5A33">
              <w:rPr>
                <w:rFonts w:hint="cs"/>
                <w:rtl/>
              </w:rPr>
              <w:t>بأن ت</w:t>
            </w:r>
            <w:r w:rsidR="008B0AAC" w:rsidRPr="00BA5A33">
              <w:rPr>
                <w:rtl/>
              </w:rPr>
              <w:t>كمل كل منها ال</w:t>
            </w:r>
            <w:r w:rsidR="008B0AAC" w:rsidRPr="00BA5A33">
              <w:rPr>
                <w:rFonts w:hint="cs"/>
                <w:rtl/>
              </w:rPr>
              <w:t>أ</w:t>
            </w:r>
            <w:r w:rsidR="00666C7C" w:rsidRPr="00BA5A33">
              <w:rPr>
                <w:rtl/>
              </w:rPr>
              <w:t>خر</w:t>
            </w:r>
            <w:r w:rsidR="008B0AAC" w:rsidRPr="00BA5A33">
              <w:rPr>
                <w:rFonts w:hint="cs"/>
                <w:rtl/>
              </w:rPr>
              <w:t>ى</w:t>
            </w:r>
            <w:r w:rsidR="00666C7C" w:rsidRPr="00BA5A33">
              <w:rPr>
                <w:rtl/>
              </w:rPr>
              <w:t>، و</w:t>
            </w:r>
            <w:r w:rsidR="008B0AAC" w:rsidRPr="00BA5A33">
              <w:rPr>
                <w:rFonts w:hint="cs"/>
                <w:rtl/>
              </w:rPr>
              <w:t>يقدم</w:t>
            </w:r>
            <w:r w:rsidR="008B0AAC" w:rsidRPr="00BA5A33">
              <w:rPr>
                <w:rtl/>
              </w:rPr>
              <w:t xml:space="preserve"> قيمة مضافة</w:t>
            </w:r>
            <w:r w:rsidR="008B0AAC" w:rsidRPr="00BA5A33">
              <w:rPr>
                <w:rFonts w:hint="cs"/>
                <w:rtl/>
              </w:rPr>
              <w:t>".</w:t>
            </w:r>
          </w:p>
        </w:tc>
        <w:tc>
          <w:tcPr>
            <w:tcW w:w="2694" w:type="dxa"/>
            <w:shd w:val="clear" w:color="auto" w:fill="FAFFEE"/>
          </w:tcPr>
          <w:p w14:paraId="624BAF95" w14:textId="2EA486AF" w:rsidR="007D466E" w:rsidRPr="00BA5A33" w:rsidRDefault="008B0AAC" w:rsidP="00BA5A33">
            <w:pPr>
              <w:pStyle w:val="table"/>
            </w:pPr>
            <w:r w:rsidRPr="00BA5A33">
              <w:rPr>
                <w:rtl/>
              </w:rPr>
              <w:t xml:space="preserve">فاليري آموس، مقدمة </w:t>
            </w:r>
            <w:r w:rsidRPr="00BA5A33">
              <w:rPr>
                <w:rFonts w:hint="cs"/>
                <w:rtl/>
              </w:rPr>
              <w:t>عن "</w:t>
            </w:r>
            <w:r w:rsidRPr="00BA5A33">
              <w:rPr>
                <w:rtl/>
              </w:rPr>
              <w:t>التنسيق لإنقاذ الأرواح، التاريخ والتحديات الناشئة</w:t>
            </w:r>
            <w:r w:rsidRPr="00BA5A33">
              <w:rPr>
                <w:rFonts w:hint="cs"/>
                <w:rtl/>
              </w:rPr>
              <w:t>"</w:t>
            </w:r>
          </w:p>
        </w:tc>
      </w:tr>
      <w:tr w:rsidR="007D466E" w:rsidRPr="00BA5A33" w14:paraId="0FA57A38" w14:textId="0C9BDDBE" w:rsidTr="00417D21">
        <w:trPr>
          <w:cantSplit/>
        </w:trPr>
        <w:tc>
          <w:tcPr>
            <w:tcW w:w="675" w:type="dxa"/>
          </w:tcPr>
          <w:p w14:paraId="0584EC46" w14:textId="77777777" w:rsidR="007D466E" w:rsidRPr="00BA5A33" w:rsidRDefault="007D466E" w:rsidP="00BA5A33">
            <w:pPr>
              <w:pStyle w:val="tableheading"/>
              <w:rPr>
                <w:sz w:val="28"/>
              </w:rPr>
            </w:pPr>
            <w:r w:rsidRPr="00BA5A33">
              <w:rPr>
                <w:sz w:val="28"/>
              </w:rPr>
              <w:t>3</w:t>
            </w:r>
          </w:p>
        </w:tc>
        <w:tc>
          <w:tcPr>
            <w:tcW w:w="6237" w:type="dxa"/>
          </w:tcPr>
          <w:p w14:paraId="5768F7FE" w14:textId="53B4818D" w:rsidR="007D466E" w:rsidRPr="00BA5A33" w:rsidRDefault="0017017B" w:rsidP="00BA5A33">
            <w:pPr>
              <w:pStyle w:val="table"/>
            </w:pPr>
            <w:r w:rsidRPr="00BA5A33">
              <w:rPr>
                <w:rFonts w:hint="cs"/>
                <w:rtl/>
              </w:rPr>
              <w:t xml:space="preserve">خطأ: </w:t>
            </w:r>
            <w:r w:rsidR="0069601B" w:rsidRPr="00BA5A33">
              <w:rPr>
                <w:rFonts w:hint="cs"/>
                <w:rtl/>
              </w:rPr>
              <w:t>تتولى</w:t>
            </w:r>
            <w:r w:rsidR="0069601B" w:rsidRPr="00BA5A33">
              <w:rPr>
                <w:rtl/>
              </w:rPr>
              <w:t xml:space="preserve"> الدولة المتضررة دور القيام بتنسيق الاستجابة الإنسانية للمنظمات المساعدة. تلعب الوكالات الإنسانية دوراً أساسيا من خلال دعم مهمة التنسيق التي تقوم بها الدولة. ومع ذلك، في بعض السياقات، قد تكون آليات التنسيق البديلة </w:t>
            </w:r>
            <w:r w:rsidR="00383257" w:rsidRPr="00BA5A33">
              <w:rPr>
                <w:rFonts w:hint="cs"/>
                <w:rtl/>
              </w:rPr>
              <w:t>مناسبة،</w:t>
            </w:r>
            <w:r w:rsidR="0069601B" w:rsidRPr="00BA5A33">
              <w:rPr>
                <w:rtl/>
              </w:rPr>
              <w:t xml:space="preserve"> على سبيل المثال، </w:t>
            </w:r>
            <w:r w:rsidR="00383257" w:rsidRPr="00BA5A33">
              <w:rPr>
                <w:rtl/>
              </w:rPr>
              <w:t>إذا</w:t>
            </w:r>
            <w:r w:rsidR="00383257" w:rsidRPr="00BA5A33">
              <w:rPr>
                <w:rFonts w:hint="cs"/>
                <w:rtl/>
              </w:rPr>
              <w:t xml:space="preserve"> كانت</w:t>
            </w:r>
            <w:r w:rsidR="00383257" w:rsidRPr="00BA5A33">
              <w:rPr>
                <w:rtl/>
              </w:rPr>
              <w:t xml:space="preserve"> </w:t>
            </w:r>
            <w:r w:rsidR="0069601B" w:rsidRPr="00BA5A33">
              <w:rPr>
                <w:rtl/>
              </w:rPr>
              <w:t>سلطات الدولة هي نفسها المسؤولة عن الاعتداء والانتهاكات أو المساعدة التي تقدمها ليست محايدة أو إذا كانت الدولة مستعدة للقيام بدور تنسيق لكنها تفتقر إلى القدرة. في هذه الحالات، قد تتم قيادة اجتماعات التنسيق بشكل منفصل أو مجمع بواسطة السلطات المحلية مع الأمم المتحدة أو المنظمات غير الحكومية. يتم حالياً تنسيق العديد من حالات الطوارئ الإنسانية واسعة النطاق من خلال 'نهج المجموعات'، حيث تعمل مجموعات من الوكالات في نفس القطاع تحت قيادة وكالة رائدة.</w:t>
            </w:r>
          </w:p>
        </w:tc>
        <w:tc>
          <w:tcPr>
            <w:tcW w:w="2694" w:type="dxa"/>
          </w:tcPr>
          <w:p w14:paraId="52968A1B" w14:textId="1212B5E1" w:rsidR="007D466E" w:rsidRPr="00BA5A33" w:rsidRDefault="000541EE" w:rsidP="00BA5A33">
            <w:pPr>
              <w:pStyle w:val="table"/>
            </w:pPr>
            <w:r w:rsidRPr="00BA5A33">
              <w:rPr>
                <w:rFonts w:hint="cs"/>
                <w:rtl/>
              </w:rPr>
              <w:t xml:space="preserve">الدورة الإلكترونية، </w:t>
            </w:r>
            <w:r w:rsidR="0017017B" w:rsidRPr="00BA5A33">
              <w:rPr>
                <w:rFonts w:hint="cs"/>
                <w:rtl/>
              </w:rPr>
              <w:t>تطوير</w:t>
            </w:r>
            <w:r w:rsidRPr="00BA5A33">
              <w:rPr>
                <w:rFonts w:hint="cs"/>
                <w:rtl/>
              </w:rPr>
              <w:t xml:space="preserve"> استجابة أفضل</w:t>
            </w:r>
          </w:p>
        </w:tc>
      </w:tr>
      <w:tr w:rsidR="007D466E" w:rsidRPr="00BA5A33" w14:paraId="484F76AF" w14:textId="743CFD9B" w:rsidTr="00417D21">
        <w:trPr>
          <w:cantSplit/>
        </w:trPr>
        <w:tc>
          <w:tcPr>
            <w:tcW w:w="675" w:type="dxa"/>
            <w:shd w:val="clear" w:color="auto" w:fill="FAFFEE"/>
          </w:tcPr>
          <w:p w14:paraId="5A4E72A9" w14:textId="77777777" w:rsidR="007D466E" w:rsidRPr="00BA5A33" w:rsidRDefault="007D466E" w:rsidP="00BA5A33">
            <w:pPr>
              <w:pStyle w:val="tableheading"/>
              <w:rPr>
                <w:sz w:val="28"/>
              </w:rPr>
            </w:pPr>
            <w:r w:rsidRPr="00BA5A33">
              <w:rPr>
                <w:sz w:val="28"/>
              </w:rPr>
              <w:t>4</w:t>
            </w:r>
          </w:p>
        </w:tc>
        <w:tc>
          <w:tcPr>
            <w:tcW w:w="6237" w:type="dxa"/>
            <w:shd w:val="clear" w:color="auto" w:fill="FAFFEE"/>
          </w:tcPr>
          <w:p w14:paraId="0E919FB4" w14:textId="31A041F2" w:rsidR="007D466E" w:rsidRPr="00BA5A33" w:rsidRDefault="00D01404" w:rsidP="00417D21">
            <w:pPr>
              <w:pStyle w:val="table"/>
            </w:pPr>
            <w:r w:rsidRPr="00BA5A33">
              <w:rPr>
                <w:rFonts w:hint="cs"/>
                <w:rtl/>
              </w:rPr>
              <w:t>خطأ</w:t>
            </w:r>
            <w:r w:rsidRPr="00BA5A33">
              <w:rPr>
                <w:rtl/>
              </w:rPr>
              <w:t xml:space="preserve">: </w:t>
            </w:r>
            <w:r w:rsidR="009C3A01" w:rsidRPr="00BA5A33">
              <w:rPr>
                <w:rFonts w:hint="cs"/>
                <w:rtl/>
              </w:rPr>
              <w:t>الاسترشاد بالمعلومات البرنامجية الواردة من الوكالات الإنسانية الأخرى، في عمليات التحلي</w:t>
            </w:r>
            <w:r w:rsidR="009A1ED1" w:rsidRPr="00BA5A33">
              <w:rPr>
                <w:rFonts w:hint="cs"/>
                <w:rtl/>
              </w:rPr>
              <w:t>ل</w:t>
            </w:r>
            <w:r w:rsidR="009C3A01" w:rsidRPr="00BA5A33">
              <w:rPr>
                <w:rFonts w:hint="cs"/>
                <w:rtl/>
              </w:rPr>
              <w:t>، واختيار المنطقة الجغرافية وخطط الاستجابة.</w:t>
            </w:r>
          </w:p>
        </w:tc>
        <w:tc>
          <w:tcPr>
            <w:tcW w:w="2694" w:type="dxa"/>
            <w:shd w:val="clear" w:color="auto" w:fill="FAFFEE"/>
          </w:tcPr>
          <w:p w14:paraId="62DA0E4E" w14:textId="4AD37CD4" w:rsidR="007D466E" w:rsidRPr="00BA5A33" w:rsidRDefault="009C3A01" w:rsidP="00BA5A33">
            <w:pPr>
              <w:pStyle w:val="table"/>
            </w:pPr>
            <w:r w:rsidRPr="00BA5A33">
              <w:rPr>
                <w:rFonts w:hint="cs"/>
                <w:rtl/>
              </w:rPr>
              <w:t>المعيار الأساسي رقم 2، التدبير الأساسي رقم 5، ص. 54</w:t>
            </w:r>
          </w:p>
        </w:tc>
      </w:tr>
      <w:tr w:rsidR="007D466E" w:rsidRPr="00BA5A33" w14:paraId="0EB3C7B0" w14:textId="6263AEDC" w:rsidTr="00417D21">
        <w:trPr>
          <w:cantSplit/>
        </w:trPr>
        <w:tc>
          <w:tcPr>
            <w:tcW w:w="675" w:type="dxa"/>
          </w:tcPr>
          <w:p w14:paraId="2B88FB75" w14:textId="77777777" w:rsidR="007D466E" w:rsidRPr="00BA5A33" w:rsidRDefault="007D466E" w:rsidP="00BA5A33">
            <w:pPr>
              <w:pStyle w:val="tableheading"/>
              <w:rPr>
                <w:sz w:val="28"/>
              </w:rPr>
            </w:pPr>
            <w:r w:rsidRPr="00BA5A33">
              <w:rPr>
                <w:sz w:val="28"/>
              </w:rPr>
              <w:t>5</w:t>
            </w:r>
          </w:p>
        </w:tc>
        <w:tc>
          <w:tcPr>
            <w:tcW w:w="6237" w:type="dxa"/>
          </w:tcPr>
          <w:p w14:paraId="41236FDA" w14:textId="409D3292" w:rsidR="007D466E" w:rsidRPr="00BA5A33" w:rsidRDefault="009C3A01" w:rsidP="00BA5A33">
            <w:pPr>
              <w:pStyle w:val="table"/>
            </w:pPr>
            <w:r w:rsidRPr="00BA5A33">
              <w:rPr>
                <w:rFonts w:hint="cs"/>
                <w:rtl/>
              </w:rPr>
              <w:t>خطأ</w:t>
            </w:r>
            <w:r w:rsidRPr="00BA5A33">
              <w:rPr>
                <w:rtl/>
              </w:rPr>
              <w:t xml:space="preserve">: </w:t>
            </w:r>
            <w:r w:rsidR="009A1ED1" w:rsidRPr="00BA5A33">
              <w:rPr>
                <w:rFonts w:hint="cs"/>
                <w:rtl/>
              </w:rPr>
              <w:t>ينبغي أن يكون لدى الموظفين الذين يمثلون الوكالات في الاجتماعات التنسيقية، المعلومات والمهارات والسلطة المناسبة للمساهمة في التخطيط وصنع القرار.</w:t>
            </w:r>
          </w:p>
        </w:tc>
        <w:tc>
          <w:tcPr>
            <w:tcW w:w="2694" w:type="dxa"/>
          </w:tcPr>
          <w:p w14:paraId="253816AC" w14:textId="69A9EE77" w:rsidR="007D466E" w:rsidRPr="00BA5A33" w:rsidRDefault="009A1ED1" w:rsidP="00BA5A33">
            <w:pPr>
              <w:pStyle w:val="table"/>
            </w:pPr>
            <w:r w:rsidRPr="00BA5A33">
              <w:rPr>
                <w:rFonts w:hint="cs"/>
                <w:rtl/>
              </w:rPr>
              <w:t>المعيار الأساسي رقم 2، الملاحظة الإرشادية رقم 1، ص. 55</w:t>
            </w:r>
          </w:p>
        </w:tc>
      </w:tr>
      <w:tr w:rsidR="007D466E" w:rsidRPr="00BA5A33" w14:paraId="0D6E38A5" w14:textId="73CA9BC6" w:rsidTr="00417D21">
        <w:trPr>
          <w:cantSplit/>
        </w:trPr>
        <w:tc>
          <w:tcPr>
            <w:tcW w:w="675" w:type="dxa"/>
            <w:shd w:val="clear" w:color="auto" w:fill="FAFFEE"/>
          </w:tcPr>
          <w:p w14:paraId="2200519A" w14:textId="77777777" w:rsidR="007D466E" w:rsidRPr="00BA5A33" w:rsidRDefault="007D466E" w:rsidP="00BA5A33">
            <w:pPr>
              <w:pStyle w:val="tableheading"/>
              <w:rPr>
                <w:sz w:val="28"/>
              </w:rPr>
            </w:pPr>
            <w:r w:rsidRPr="00BA5A33">
              <w:rPr>
                <w:sz w:val="28"/>
              </w:rPr>
              <w:t>6</w:t>
            </w:r>
          </w:p>
        </w:tc>
        <w:tc>
          <w:tcPr>
            <w:tcW w:w="6237" w:type="dxa"/>
            <w:shd w:val="clear" w:color="auto" w:fill="FAFFEE"/>
          </w:tcPr>
          <w:p w14:paraId="0147504C" w14:textId="4B2E3F2F" w:rsidR="007D466E" w:rsidRPr="00BA5A33" w:rsidRDefault="00A42EEB" w:rsidP="00BA5A33">
            <w:pPr>
              <w:pStyle w:val="table"/>
            </w:pPr>
            <w:r w:rsidRPr="00BA5A33">
              <w:rPr>
                <w:rFonts w:hint="cs"/>
                <w:rtl/>
              </w:rPr>
              <w:t>خطأ</w:t>
            </w:r>
            <w:r w:rsidRPr="00BA5A33">
              <w:rPr>
                <w:rtl/>
              </w:rPr>
              <w:t xml:space="preserve">: </w:t>
            </w:r>
            <w:r w:rsidRPr="00BA5A33">
              <w:rPr>
                <w:rFonts w:hint="cs"/>
                <w:rtl/>
              </w:rPr>
              <w:t>ينبغي التعاون مع الوكالات الأخرى من أجل تعزيز المناصرة بشأن الشواغل الإنسانية الحرجة المشتركة.</w:t>
            </w:r>
          </w:p>
        </w:tc>
        <w:tc>
          <w:tcPr>
            <w:tcW w:w="2694" w:type="dxa"/>
            <w:shd w:val="clear" w:color="auto" w:fill="FAFFEE"/>
          </w:tcPr>
          <w:p w14:paraId="3EC6EC39" w14:textId="483AD8B2" w:rsidR="007D466E" w:rsidRPr="00BA5A33" w:rsidRDefault="00A42EEB" w:rsidP="00BA5A33">
            <w:pPr>
              <w:pStyle w:val="table"/>
            </w:pPr>
            <w:r w:rsidRPr="00BA5A33">
              <w:rPr>
                <w:rFonts w:hint="cs"/>
                <w:rtl/>
              </w:rPr>
              <w:t>المعيار الأساسي رقم 2، التدبير الأساسي رقم 7، ص. 54</w:t>
            </w:r>
          </w:p>
        </w:tc>
      </w:tr>
      <w:tr w:rsidR="007D466E" w:rsidRPr="00BA5A33" w14:paraId="6A987B97" w14:textId="706112C2" w:rsidTr="00417D21">
        <w:trPr>
          <w:cantSplit/>
        </w:trPr>
        <w:tc>
          <w:tcPr>
            <w:tcW w:w="675" w:type="dxa"/>
          </w:tcPr>
          <w:p w14:paraId="587FC03F" w14:textId="77777777" w:rsidR="007D466E" w:rsidRPr="00BA5A33" w:rsidRDefault="007D466E" w:rsidP="00BA5A33">
            <w:pPr>
              <w:pStyle w:val="tableheading"/>
              <w:rPr>
                <w:sz w:val="28"/>
              </w:rPr>
            </w:pPr>
            <w:r w:rsidRPr="00BA5A33">
              <w:rPr>
                <w:sz w:val="28"/>
              </w:rPr>
              <w:t>7</w:t>
            </w:r>
          </w:p>
        </w:tc>
        <w:tc>
          <w:tcPr>
            <w:tcW w:w="6237" w:type="dxa"/>
          </w:tcPr>
          <w:p w14:paraId="37FF1478" w14:textId="720F342A" w:rsidR="007D466E" w:rsidRPr="00BA5A33" w:rsidRDefault="002F74CB" w:rsidP="00BA5A33">
            <w:pPr>
              <w:pStyle w:val="table"/>
            </w:pPr>
            <w:r w:rsidRPr="00BA5A33">
              <w:rPr>
                <w:rFonts w:hint="cs"/>
                <w:rtl/>
              </w:rPr>
              <w:t>صواب</w:t>
            </w:r>
            <w:r w:rsidR="00A42EEB" w:rsidRPr="00BA5A33">
              <w:rPr>
                <w:rFonts w:hint="cs"/>
                <w:rtl/>
              </w:rPr>
              <w:t xml:space="preserve">: </w:t>
            </w:r>
            <w:r w:rsidRPr="00BA5A33">
              <w:rPr>
                <w:rFonts w:hint="cs"/>
                <w:rtl/>
              </w:rPr>
              <w:t>إطلاع مجموعات التنسيق بشكل منتظم على المستجدات والإبلاغ بشأن أي تأثير مؤثر، وأي نقص أو فائض في قدرة الوكالة.</w:t>
            </w:r>
          </w:p>
        </w:tc>
        <w:tc>
          <w:tcPr>
            <w:tcW w:w="2694" w:type="dxa"/>
          </w:tcPr>
          <w:p w14:paraId="57198453" w14:textId="7B4F739F" w:rsidR="007D466E" w:rsidRPr="00BA5A33" w:rsidRDefault="00A42EEB" w:rsidP="00BA5A33">
            <w:pPr>
              <w:pStyle w:val="table"/>
            </w:pPr>
            <w:r w:rsidRPr="00BA5A33">
              <w:rPr>
                <w:rFonts w:hint="cs"/>
                <w:rtl/>
              </w:rPr>
              <w:t xml:space="preserve">المعيار الأساسي رقم 2، التدبير الأساسي رقم </w:t>
            </w:r>
            <w:r w:rsidR="002F74CB" w:rsidRPr="00BA5A33">
              <w:rPr>
                <w:rFonts w:hint="cs"/>
                <w:rtl/>
              </w:rPr>
              <w:t>6</w:t>
            </w:r>
            <w:r w:rsidRPr="00BA5A33">
              <w:rPr>
                <w:rFonts w:hint="cs"/>
                <w:rtl/>
              </w:rPr>
              <w:t>، ص. 54</w:t>
            </w:r>
          </w:p>
        </w:tc>
      </w:tr>
      <w:tr w:rsidR="007D466E" w:rsidRPr="00BA5A33" w14:paraId="7654251E" w14:textId="08F65B11" w:rsidTr="00417D21">
        <w:trPr>
          <w:cantSplit/>
        </w:trPr>
        <w:tc>
          <w:tcPr>
            <w:tcW w:w="675" w:type="dxa"/>
          </w:tcPr>
          <w:p w14:paraId="76CA4484" w14:textId="77777777" w:rsidR="007D466E" w:rsidRPr="00BA5A33" w:rsidRDefault="007D466E" w:rsidP="00BA5A33">
            <w:pPr>
              <w:pStyle w:val="tableheading"/>
              <w:rPr>
                <w:sz w:val="28"/>
              </w:rPr>
            </w:pPr>
            <w:r w:rsidRPr="00BA5A33">
              <w:rPr>
                <w:sz w:val="28"/>
              </w:rPr>
              <w:lastRenderedPageBreak/>
              <w:t>8</w:t>
            </w:r>
          </w:p>
        </w:tc>
        <w:tc>
          <w:tcPr>
            <w:tcW w:w="6237" w:type="dxa"/>
          </w:tcPr>
          <w:p w14:paraId="48B37509" w14:textId="54514523" w:rsidR="007D466E" w:rsidRPr="00BA5A33" w:rsidRDefault="002F74CB" w:rsidP="00BA5A33">
            <w:pPr>
              <w:pStyle w:val="table"/>
            </w:pPr>
            <w:r w:rsidRPr="00BA5A33">
              <w:rPr>
                <w:rFonts w:hint="cs"/>
                <w:rtl/>
              </w:rPr>
              <w:t xml:space="preserve">خطأ: </w:t>
            </w:r>
            <w:r w:rsidR="00C03B74" w:rsidRPr="00BA5A33">
              <w:rPr>
                <w:rFonts w:hint="cs"/>
                <w:rtl/>
              </w:rPr>
              <w:t>لكون هذ</w:t>
            </w:r>
            <w:r w:rsidR="00383257" w:rsidRPr="00BA5A33">
              <w:rPr>
                <w:rFonts w:hint="cs"/>
                <w:rtl/>
              </w:rPr>
              <w:t>ا الدليل غير مملوك لأي منظمة، فإ</w:t>
            </w:r>
            <w:r w:rsidR="00C03B74" w:rsidRPr="00BA5A33">
              <w:rPr>
                <w:rFonts w:hint="cs"/>
                <w:rtl/>
              </w:rPr>
              <w:t>نه يحظى بقبول واسع النطاق من جانب القطاع الإنساني ككل، وأصبح من مجموعات المعايير التي تحظى بأكبر قدر من الشهرة والاعتراف الدولي فيما يتعلق بالاستجابة الإنسانية، ويستخدم كأداة اتصال وتنسيق مشتركة بين الوكالات. والمستخدمون الرئيسيون لدليل اسفير هم الممارسون المنخرطون في التخطيط أو الإدارة أو التنفيذ في مجال الاستجابة الإنسانية. ويشمل ذلك الموظفين والمتطوعين وال</w:t>
            </w:r>
            <w:r w:rsidR="00383257" w:rsidRPr="00BA5A33">
              <w:rPr>
                <w:rFonts w:hint="cs"/>
                <w:rtl/>
              </w:rPr>
              <w:t>و</w:t>
            </w:r>
            <w:r w:rsidR="00C03B74" w:rsidRPr="00BA5A33">
              <w:rPr>
                <w:rFonts w:hint="cs"/>
                <w:rtl/>
              </w:rPr>
              <w:t>كالات الإنسانية المحلية والوطنية والدولية. وكثيراً ما تجري الإشارة على المعايير الدنيا، في سياق جمع الأموال ومقترحات المشاريع. كما أن الجهات الفاعلة الأخرى، مثل الحكومات، أو السلطات المحلية أو العسكرية، أو القطاع الخاص، مدعوة إلى استعمال دليل اسفير، فقد يكون استخدامه من الأمور المفيدة في توجيه أنشتطهم الخاصة، وفي مساعدتهم على فهم المعايير التي تستعملها الوكالات الإنسانية التي قد يتفاعلون معها.</w:t>
            </w:r>
          </w:p>
        </w:tc>
        <w:tc>
          <w:tcPr>
            <w:tcW w:w="2694" w:type="dxa"/>
          </w:tcPr>
          <w:p w14:paraId="6E1058C4" w14:textId="3BDA5D02" w:rsidR="007D466E" w:rsidRPr="00BA5A33" w:rsidRDefault="00C03B74" w:rsidP="00BA5A33">
            <w:pPr>
              <w:pStyle w:val="table"/>
              <w:rPr>
                <w:rtl/>
              </w:rPr>
            </w:pPr>
            <w:r w:rsidRPr="00BA5A33">
              <w:rPr>
                <w:rFonts w:hint="cs"/>
                <w:rtl/>
              </w:rPr>
              <w:t>دليل اسفير، ص. 5</w:t>
            </w:r>
          </w:p>
        </w:tc>
      </w:tr>
      <w:tr w:rsidR="007D466E" w:rsidRPr="00BA5A33" w14:paraId="19097A5C" w14:textId="042A3CE3" w:rsidTr="00417D21">
        <w:trPr>
          <w:cantSplit/>
        </w:trPr>
        <w:tc>
          <w:tcPr>
            <w:tcW w:w="675" w:type="dxa"/>
            <w:shd w:val="clear" w:color="auto" w:fill="FAFFEE"/>
          </w:tcPr>
          <w:p w14:paraId="1520D761" w14:textId="77777777" w:rsidR="007D466E" w:rsidRPr="00BA5A33" w:rsidRDefault="007D466E" w:rsidP="00BA5A33">
            <w:pPr>
              <w:pStyle w:val="tableheading"/>
              <w:rPr>
                <w:sz w:val="28"/>
              </w:rPr>
            </w:pPr>
            <w:r w:rsidRPr="00BA5A33">
              <w:rPr>
                <w:sz w:val="28"/>
              </w:rPr>
              <w:t>9</w:t>
            </w:r>
          </w:p>
        </w:tc>
        <w:tc>
          <w:tcPr>
            <w:tcW w:w="6237" w:type="dxa"/>
            <w:shd w:val="clear" w:color="auto" w:fill="FAFFEE"/>
          </w:tcPr>
          <w:p w14:paraId="27F351DF" w14:textId="1FDFE62E" w:rsidR="007D466E" w:rsidRPr="00BA5A33" w:rsidRDefault="002F74CB" w:rsidP="00BA5A33">
            <w:pPr>
              <w:pStyle w:val="table"/>
            </w:pPr>
            <w:r w:rsidRPr="00BA5A33">
              <w:rPr>
                <w:rFonts w:hint="cs"/>
                <w:rtl/>
              </w:rPr>
              <w:t xml:space="preserve">خطأ: </w:t>
            </w:r>
            <w:r w:rsidR="0063388A" w:rsidRPr="00BA5A33">
              <w:rPr>
                <w:rtl/>
              </w:rPr>
              <w:t>مشروع اسفير قطع شوطاً طويلاً على مدى السنوات الـ 15 الماضية، وأصبح قوة تدفع للتقارب والتعاون داخل المجتمع الإنساني. بدأ كمشروع للمنظمات غير الحكومية الدولية وحركة للصليب الأحمر /الهلال الأحمر، ركز في البداية على التدريب ومأسسة مبادئ ومعايير اسفير داخل المنظمات والشبكات غير الحكومية. ومع مرور الوقت، اكتسب الاعتراف داخل قطاع الشؤون الإنسانية الأوسع نطاقا. واليوم، تتبنى الأمم المتحدة إلى حد كبير المعايير الدنيا التي وضعها المشروع، وتلجأ الحكومات على نحو متنامي – سواء المانحة أو المتضررة من الكوارث – لمشروع اسفير عندما تبحث عن معايير للجودة والكفاءة المهنية في تقديم المعونة الإنسانية. وهناك العديد من الدول، بما في ذلك الهند وغواتيمالا، تؤسس مبادئها التوجيهية المتعلقة بإدارة الكوارث الوطنية، على الأقل جزئياً، على المؤشرات التي وضعها اسفير. ويرجع هذا إلى حد كبير إلى أنشطة الدعوة الناجحة التي قامت بها مراكز التنسيق التابعة لاسفير</w:t>
            </w:r>
            <w:r w:rsidR="0063388A" w:rsidRPr="00BA5A33">
              <w:t>.</w:t>
            </w:r>
          </w:p>
        </w:tc>
        <w:tc>
          <w:tcPr>
            <w:tcW w:w="2694" w:type="dxa"/>
            <w:shd w:val="clear" w:color="auto" w:fill="FAFFEE"/>
          </w:tcPr>
          <w:p w14:paraId="636E704F" w14:textId="62203A81" w:rsidR="007D466E" w:rsidRPr="00BA5A33" w:rsidRDefault="001027EA" w:rsidP="00BA5A33">
            <w:pPr>
              <w:pStyle w:val="table"/>
            </w:pPr>
            <w:hyperlink r:id="rId9" w:history="1">
              <w:r w:rsidR="007D466E" w:rsidRPr="00BA5A33">
                <w:rPr>
                  <w:rStyle w:val="Hyperlink"/>
                </w:rPr>
                <w:t>www.odihpn.org/humanitarian-exchange-magazine/issue-53/the-sphere-project-taking-stock</w:t>
              </w:r>
            </w:hyperlink>
          </w:p>
        </w:tc>
      </w:tr>
      <w:tr w:rsidR="007D466E" w:rsidRPr="00BA5A33" w14:paraId="1B685249" w14:textId="1ED7681C" w:rsidTr="00417D21">
        <w:trPr>
          <w:cantSplit/>
        </w:trPr>
        <w:tc>
          <w:tcPr>
            <w:tcW w:w="675" w:type="dxa"/>
          </w:tcPr>
          <w:p w14:paraId="1BA7ED52" w14:textId="77777777" w:rsidR="007D466E" w:rsidRPr="00BA5A33" w:rsidRDefault="007D466E" w:rsidP="00BA5A33">
            <w:pPr>
              <w:pStyle w:val="tableheading"/>
              <w:rPr>
                <w:sz w:val="28"/>
              </w:rPr>
            </w:pPr>
            <w:r w:rsidRPr="00BA5A33">
              <w:rPr>
                <w:sz w:val="28"/>
              </w:rPr>
              <w:t>10</w:t>
            </w:r>
          </w:p>
        </w:tc>
        <w:tc>
          <w:tcPr>
            <w:tcW w:w="6237" w:type="dxa"/>
          </w:tcPr>
          <w:p w14:paraId="14482AB9" w14:textId="0E1E9AB5" w:rsidR="007D466E" w:rsidRPr="00BA5A33" w:rsidRDefault="002F74CB" w:rsidP="00BA5A33">
            <w:pPr>
              <w:pStyle w:val="table"/>
            </w:pPr>
            <w:r w:rsidRPr="00BA5A33">
              <w:rPr>
                <w:rFonts w:hint="cs"/>
                <w:rtl/>
              </w:rPr>
              <w:t>صواب:</w:t>
            </w:r>
            <w:r w:rsidR="00514DB7" w:rsidRPr="00BA5A33">
              <w:rPr>
                <w:rFonts w:hint="cs"/>
                <w:rtl/>
              </w:rPr>
              <w:t xml:space="preserve"> يمكن للاجتماعات التي تجمع بين مختلف القطاعات أن تعزز من تلبية حاجات السكان ككل، بدلاً من تلبيتها بمنأى عن بعضها بعضاً (على سبيل المثال، الربط بين حاجات الإيواء، والمياه، والإصحاح والنظافة والرعاية النفسية الاجتماعية). وينبغي تقاسم المعلومات ذات الصلة بين مختلف آليات التنسيق، لضمان التنسيق المتكامل في جميع البرامج.</w:t>
            </w:r>
          </w:p>
        </w:tc>
        <w:tc>
          <w:tcPr>
            <w:tcW w:w="2694" w:type="dxa"/>
          </w:tcPr>
          <w:p w14:paraId="48C1B2BE" w14:textId="509168AD" w:rsidR="007D466E" w:rsidRPr="00BA5A33" w:rsidRDefault="00514DB7" w:rsidP="00BA5A33">
            <w:pPr>
              <w:pStyle w:val="table"/>
            </w:pPr>
            <w:r w:rsidRPr="00BA5A33">
              <w:rPr>
                <w:rFonts w:hint="cs"/>
                <w:rtl/>
              </w:rPr>
              <w:t>المعيار الأساسي رقم 2، الملاحظة الإرشادية رقم 2، ص. 55</w:t>
            </w:r>
          </w:p>
        </w:tc>
      </w:tr>
      <w:tr w:rsidR="007D466E" w:rsidRPr="00BA5A33" w14:paraId="76DF33FE" w14:textId="49F3022F" w:rsidTr="00417D21">
        <w:trPr>
          <w:cantSplit/>
        </w:trPr>
        <w:tc>
          <w:tcPr>
            <w:tcW w:w="675" w:type="dxa"/>
          </w:tcPr>
          <w:p w14:paraId="0C2983F4" w14:textId="77777777" w:rsidR="007D466E" w:rsidRPr="00BA5A33" w:rsidRDefault="007D466E" w:rsidP="00BA5A33">
            <w:pPr>
              <w:pStyle w:val="tableheading"/>
              <w:rPr>
                <w:sz w:val="28"/>
              </w:rPr>
            </w:pPr>
            <w:r w:rsidRPr="00BA5A33">
              <w:rPr>
                <w:sz w:val="28"/>
              </w:rPr>
              <w:lastRenderedPageBreak/>
              <w:t>11</w:t>
            </w:r>
          </w:p>
        </w:tc>
        <w:tc>
          <w:tcPr>
            <w:tcW w:w="6237" w:type="dxa"/>
          </w:tcPr>
          <w:p w14:paraId="2FB7DB6B" w14:textId="47D65170" w:rsidR="007D466E" w:rsidRPr="00BA5A33" w:rsidRDefault="00EA5511" w:rsidP="00BA5A33">
            <w:pPr>
              <w:pStyle w:val="table"/>
            </w:pPr>
            <w:r w:rsidRPr="00BA5A33">
              <w:rPr>
                <w:rFonts w:hint="cs"/>
                <w:rtl/>
              </w:rPr>
              <w:t xml:space="preserve">خطأ: </w:t>
            </w:r>
            <w:r w:rsidR="00C41E99" w:rsidRPr="00BA5A33">
              <w:rPr>
                <w:rtl/>
              </w:rPr>
              <w:t>أسست عملية إصلاح القطاع الإنساني في عام 2005 النهج القطاعي (حسب المجموعة القطاعية)، الذي يعتبر حاليا الطريقة الرئيسية التي تتبعها الجهات الإنسانية الفاعلة في التنسيق. المجموعات القطاعية هي عبارة عن مجموعات من المنظمات الإنسانية (من وكالات الأمم المتحدة وغير الأمم المتحدة) تعمل في القطاعات الرئيسية للعمل الإنساني، مثل المأوى والصحة، التي تنسق العمل لتجنب الفجوات والازدواجية في تقديم المساعدة للمجتمعات المحلية المتضررة. ويتم إنشاؤها عندما تكون هناك احتياجات إنسانية واضحة داخل القطاعات، وعندما تكون هناك العديد من الأطراف الفاعلة داخل القطاعات، وعندما تكون السلطات الوطنية بحاجة إلى دعم في مجال التنسيق. توفر مثل هذه المجموعات نقطة اتصال واضحة وقابلة للمساءلة عن الاستجابة الإنسانية الكافية والمناسبة. تعزز المجموعات الشراكة بين الجهات الإنسانية الدولية والسلطات الوطنية والمحلية والمجتمع المدني.</w:t>
            </w:r>
          </w:p>
        </w:tc>
        <w:tc>
          <w:tcPr>
            <w:tcW w:w="2694" w:type="dxa"/>
          </w:tcPr>
          <w:p w14:paraId="03FF0F88" w14:textId="5F322CC9" w:rsidR="00C41E99" w:rsidRPr="00BA5A33" w:rsidRDefault="00C41E99" w:rsidP="00BA5A33">
            <w:pPr>
              <w:pStyle w:val="table"/>
              <w:rPr>
                <w:rtl/>
              </w:rPr>
            </w:pPr>
            <w:r w:rsidRPr="00BA5A33">
              <w:rPr>
                <w:rFonts w:hint="cs"/>
                <w:rtl/>
              </w:rPr>
              <w:t>دورة التعلم الإلكتروني:</w:t>
            </w:r>
          </w:p>
          <w:p w14:paraId="76F073CC" w14:textId="77777777" w:rsidR="00C41E99" w:rsidRPr="00BA5A33" w:rsidRDefault="007D466E" w:rsidP="00BA5A33">
            <w:pPr>
              <w:pStyle w:val="table"/>
            </w:pPr>
            <w:r w:rsidRPr="00BA5A33">
              <w:t xml:space="preserve"> </w:t>
            </w:r>
            <w:hyperlink r:id="rId10" w:history="1">
              <w:r w:rsidRPr="00BA5A33">
                <w:rPr>
                  <w:rStyle w:val="Hyperlink"/>
                </w:rPr>
                <w:t>www.buildingabetterResponse.org</w:t>
              </w:r>
            </w:hyperlink>
            <w:r w:rsidRPr="00BA5A33">
              <w:t>,</w:t>
            </w:r>
          </w:p>
          <w:p w14:paraId="0AA792C7" w14:textId="6B4A71A3" w:rsidR="007D466E" w:rsidRPr="00BA5A33" w:rsidRDefault="00C41E99" w:rsidP="00BA5A33">
            <w:pPr>
              <w:pStyle w:val="table"/>
            </w:pPr>
            <w:r w:rsidRPr="00BA5A33">
              <w:rPr>
                <w:rFonts w:hint="cs"/>
                <w:rtl/>
              </w:rPr>
              <w:t>التي تشمل وحدات رئيسية حول هيكل العمل الإنساني وتأثيراته على الجهات المنفذة</w:t>
            </w:r>
          </w:p>
        </w:tc>
      </w:tr>
      <w:tr w:rsidR="007D466E" w:rsidRPr="00BA5A33" w14:paraId="34013394" w14:textId="59B69DA1" w:rsidTr="00417D21">
        <w:trPr>
          <w:cantSplit/>
        </w:trPr>
        <w:tc>
          <w:tcPr>
            <w:tcW w:w="675" w:type="dxa"/>
            <w:shd w:val="clear" w:color="auto" w:fill="FAFFEE"/>
          </w:tcPr>
          <w:p w14:paraId="6BDAA1AA" w14:textId="77777777" w:rsidR="007D466E" w:rsidRPr="00BA5A33" w:rsidRDefault="007D466E" w:rsidP="00BA5A33">
            <w:pPr>
              <w:pStyle w:val="tableheading"/>
              <w:rPr>
                <w:sz w:val="28"/>
              </w:rPr>
            </w:pPr>
            <w:r w:rsidRPr="00BA5A33">
              <w:rPr>
                <w:sz w:val="28"/>
              </w:rPr>
              <w:t>12</w:t>
            </w:r>
          </w:p>
        </w:tc>
        <w:tc>
          <w:tcPr>
            <w:tcW w:w="6237" w:type="dxa"/>
            <w:shd w:val="clear" w:color="auto" w:fill="FAFFEE"/>
          </w:tcPr>
          <w:p w14:paraId="3D78E37B" w14:textId="56FF2927" w:rsidR="007D466E" w:rsidRPr="00BA5A33" w:rsidRDefault="00ED61A3" w:rsidP="00BA5A33">
            <w:pPr>
              <w:pStyle w:val="table"/>
            </w:pPr>
            <w:r w:rsidRPr="00BA5A33">
              <w:rPr>
                <w:rFonts w:hint="cs"/>
                <w:rtl/>
              </w:rPr>
              <w:t xml:space="preserve">خطأ: </w:t>
            </w:r>
            <w:r w:rsidR="005767DE" w:rsidRPr="00BA5A33">
              <w:rPr>
                <w:rFonts w:hint="cs"/>
                <w:rtl/>
              </w:rPr>
              <w:t>القوات العسكرية تجلب خبرات وموارد معينة، بما في ذلك الأمن واللوجستيات والنقل والاتصالات. بيد أن أنشطتهم قد تطمس الفارق المهم بين الأهداف الإنسانية وجداول الأعمال العسكرية أو السياسية، وتخلق مخاطر أمنية في المستقبل. وينبغي أن يكون أي ارتباط مع القوات العسكرية في خدمة الوكالات الإنسانية، أو لضمان الكفاءة التشغيلية (على سبيل المثال تشاطر المعلومات البرنامجية الأساسية)، بينما قد تلجأ وكالات أخرى إلى إنشاء روابط أقوى (على سبيل المثال استخدام الأصول العسكرية). وفي جميع الأحوال، يجب أن تظل الوكالات الإنسانية متميزة بوضوح عن القوات العسكرية لتجنب أي رابطة حقيقية أو متصورة مع أي أهداف سياسية أو عسكرية من شأنها أن تلحق الضرر باستقلال ومصداقية الوكالات وأمنها، وبالقدرة على الوصول إلى السكان المتضررين.</w:t>
            </w:r>
          </w:p>
        </w:tc>
        <w:tc>
          <w:tcPr>
            <w:tcW w:w="2694" w:type="dxa"/>
            <w:shd w:val="clear" w:color="auto" w:fill="FAFFEE"/>
          </w:tcPr>
          <w:p w14:paraId="4DCA1250" w14:textId="024B9D6C" w:rsidR="007D466E" w:rsidRPr="00BA5A33" w:rsidRDefault="00ED61A3" w:rsidP="00BA5A33">
            <w:pPr>
              <w:pStyle w:val="table"/>
            </w:pPr>
            <w:r w:rsidRPr="00BA5A33">
              <w:rPr>
                <w:rFonts w:hint="cs"/>
                <w:rtl/>
              </w:rPr>
              <w:t xml:space="preserve">المعيار الأساسي رقم 2، الملاحظة الإرشادية رقم </w:t>
            </w:r>
            <w:r w:rsidRPr="00BA5A33">
              <w:t>5</w:t>
            </w:r>
            <w:r w:rsidRPr="00BA5A33">
              <w:rPr>
                <w:rFonts w:hint="cs"/>
                <w:rtl/>
              </w:rPr>
              <w:t>، ص. 56</w:t>
            </w:r>
          </w:p>
        </w:tc>
      </w:tr>
      <w:tr w:rsidR="007D466E" w:rsidRPr="00BA5A33" w14:paraId="605DA5DD" w14:textId="5C2D6552" w:rsidTr="00417D21">
        <w:trPr>
          <w:cantSplit/>
        </w:trPr>
        <w:tc>
          <w:tcPr>
            <w:tcW w:w="675" w:type="dxa"/>
          </w:tcPr>
          <w:p w14:paraId="2D247BE0" w14:textId="77777777" w:rsidR="007D466E" w:rsidRPr="00BA5A33" w:rsidRDefault="007D466E" w:rsidP="00BA5A33">
            <w:pPr>
              <w:pStyle w:val="tableheading"/>
              <w:rPr>
                <w:sz w:val="28"/>
              </w:rPr>
            </w:pPr>
            <w:r w:rsidRPr="00BA5A33">
              <w:rPr>
                <w:sz w:val="28"/>
              </w:rPr>
              <w:t>13</w:t>
            </w:r>
          </w:p>
        </w:tc>
        <w:tc>
          <w:tcPr>
            <w:tcW w:w="6237" w:type="dxa"/>
          </w:tcPr>
          <w:p w14:paraId="6BB1024F" w14:textId="4827E505" w:rsidR="007D466E" w:rsidRPr="00BA5A33" w:rsidRDefault="00ED61A3" w:rsidP="00BA5A33">
            <w:pPr>
              <w:pStyle w:val="table"/>
            </w:pPr>
            <w:r w:rsidRPr="00BA5A33">
              <w:rPr>
                <w:rFonts w:hint="cs"/>
                <w:rtl/>
              </w:rPr>
              <w:t>صواب: يمكن للقطاع الخاص أن يحقق للوكالات الإنسانية كفاءات تجارية، وخبرات وموارد تكميلية. كما أن تشاطر المعلومات أمر مطلوب لتجنب الازدواجية، ولتعزيز الممارسات الإنسانية السليمة. ويجب أن تعمل الشراكات الإنسانية مع القطاع الخاص بشكل جاد لصالح الأهداف الإنسانية.</w:t>
            </w:r>
          </w:p>
        </w:tc>
        <w:tc>
          <w:tcPr>
            <w:tcW w:w="2694" w:type="dxa"/>
          </w:tcPr>
          <w:p w14:paraId="5494E7F5" w14:textId="3D89C8B5" w:rsidR="007D466E" w:rsidRPr="00BA5A33" w:rsidRDefault="00ED61A3" w:rsidP="00BA5A33">
            <w:pPr>
              <w:pStyle w:val="table"/>
            </w:pPr>
            <w:r w:rsidRPr="00BA5A33">
              <w:rPr>
                <w:rFonts w:hint="cs"/>
                <w:rtl/>
              </w:rPr>
              <w:t xml:space="preserve">المعيار الأساسي رقم 2، الملاحظة الإرشادية رقم </w:t>
            </w:r>
            <w:r w:rsidRPr="00BA5A33">
              <w:t>5</w:t>
            </w:r>
            <w:r w:rsidRPr="00BA5A33">
              <w:rPr>
                <w:rFonts w:hint="cs"/>
                <w:rtl/>
              </w:rPr>
              <w:t>، ص. 56</w:t>
            </w:r>
          </w:p>
        </w:tc>
      </w:tr>
    </w:tbl>
    <w:p w14:paraId="358161B2" w14:textId="77777777" w:rsidR="007D1ADB" w:rsidRPr="006C4D79" w:rsidRDefault="007D1ADB" w:rsidP="00D966B6">
      <w:pPr>
        <w:rPr>
          <w:lang w:val="en-US"/>
        </w:rPr>
      </w:pPr>
    </w:p>
    <w:sectPr w:rsidR="007D1ADB" w:rsidRPr="006C4D79" w:rsidSect="00E10D9D">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247" w:bottom="851" w:left="1247" w:header="709"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4A4758" w14:textId="77777777" w:rsidR="001027EA" w:rsidRDefault="001027EA" w:rsidP="002848CC">
      <w:pPr>
        <w:spacing w:before="0"/>
      </w:pPr>
      <w:r>
        <w:separator/>
      </w:r>
    </w:p>
  </w:endnote>
  <w:endnote w:type="continuationSeparator" w:id="0">
    <w:p w14:paraId="1AFF458D" w14:textId="77777777" w:rsidR="001027EA" w:rsidRDefault="001027EA"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F9B59" w14:textId="517279CF" w:rsidR="006372D0" w:rsidRPr="004F1D9A" w:rsidRDefault="006372D0" w:rsidP="00F51600">
    <w:r w:rsidRPr="00F97BB3">
      <w:t>Module B3: Sphere, Disaster Risk Reduction/Management and resilience. 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72AFE" w14:textId="4487DB24" w:rsidR="006372D0" w:rsidRPr="00D57736" w:rsidRDefault="00E10D9D" w:rsidP="00742209">
    <w:pPr>
      <w:pStyle w:val="Footer"/>
      <w:rPr>
        <w:sz w:val="22"/>
        <w:szCs w:val="24"/>
      </w:rPr>
    </w:pPr>
    <w:r w:rsidRPr="00D57736">
      <w:rPr>
        <w:sz w:val="22"/>
        <w:szCs w:val="24"/>
        <w:rtl/>
      </w:rPr>
      <w:t>الجزء "ب"</w:t>
    </w:r>
    <w:r w:rsidR="00742209" w:rsidRPr="00D57736">
      <w:rPr>
        <w:rFonts w:hint="cs"/>
        <w:sz w:val="22"/>
        <w:szCs w:val="24"/>
        <w:rtl/>
      </w:rPr>
      <w:t xml:space="preserve"> 5</w:t>
    </w:r>
    <w:r w:rsidRPr="00D57736">
      <w:rPr>
        <w:sz w:val="22"/>
        <w:szCs w:val="24"/>
        <w:rtl/>
      </w:rPr>
      <w:t xml:space="preserve">: </w:t>
    </w:r>
    <w:proofErr w:type="spellStart"/>
    <w:r w:rsidRPr="00D57736">
      <w:rPr>
        <w:sz w:val="22"/>
        <w:szCs w:val="24"/>
        <w:rtl/>
      </w:rPr>
      <w:t>اسفير</w:t>
    </w:r>
    <w:proofErr w:type="spellEnd"/>
    <w:r w:rsidRPr="00D57736">
      <w:rPr>
        <w:sz w:val="22"/>
        <w:szCs w:val="24"/>
        <w:rtl/>
      </w:rPr>
      <w:t xml:space="preserve"> والتنسيق</w:t>
    </w:r>
    <w:r w:rsidRPr="00D57736">
      <w:rPr>
        <w:sz w:val="22"/>
        <w:szCs w:val="24"/>
        <w:rtl/>
      </w:rPr>
      <w:tab/>
      <w:t>مجموعة اسفير التدريبية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5FD816" w14:textId="77777777" w:rsidR="00D57736" w:rsidRPr="00D57736" w:rsidRDefault="00D57736" w:rsidP="00D57736">
    <w:pPr>
      <w:pStyle w:val="Footer"/>
      <w:rPr>
        <w:sz w:val="22"/>
        <w:szCs w:val="24"/>
      </w:rPr>
    </w:pPr>
    <w:r w:rsidRPr="00D57736">
      <w:rPr>
        <w:sz w:val="22"/>
        <w:szCs w:val="24"/>
        <w:rtl/>
      </w:rPr>
      <w:t>الجزء "ب"</w:t>
    </w:r>
    <w:r w:rsidRPr="00D57736">
      <w:rPr>
        <w:rFonts w:hint="cs"/>
        <w:sz w:val="22"/>
        <w:szCs w:val="24"/>
        <w:rtl/>
      </w:rPr>
      <w:t xml:space="preserve"> 5</w:t>
    </w:r>
    <w:r w:rsidRPr="00D57736">
      <w:rPr>
        <w:sz w:val="22"/>
        <w:szCs w:val="24"/>
        <w:rtl/>
      </w:rPr>
      <w:t xml:space="preserve">: </w:t>
    </w:r>
    <w:proofErr w:type="spellStart"/>
    <w:r w:rsidRPr="00D57736">
      <w:rPr>
        <w:sz w:val="22"/>
        <w:szCs w:val="24"/>
        <w:rtl/>
      </w:rPr>
      <w:t>اسفير</w:t>
    </w:r>
    <w:proofErr w:type="spellEnd"/>
    <w:r w:rsidRPr="00D57736">
      <w:rPr>
        <w:sz w:val="22"/>
        <w:szCs w:val="24"/>
        <w:rtl/>
      </w:rPr>
      <w:t xml:space="preserve"> والتنسيق</w:t>
    </w:r>
    <w:r w:rsidRPr="00D57736">
      <w:rPr>
        <w:sz w:val="22"/>
        <w:szCs w:val="24"/>
        <w:rtl/>
      </w:rPr>
      <w:tab/>
      <w:t xml:space="preserve">مجموعة </w:t>
    </w:r>
    <w:proofErr w:type="spellStart"/>
    <w:r w:rsidRPr="00D57736">
      <w:rPr>
        <w:sz w:val="22"/>
        <w:szCs w:val="24"/>
        <w:rtl/>
      </w:rPr>
      <w:t>اسفير</w:t>
    </w:r>
    <w:proofErr w:type="spellEnd"/>
    <w:r w:rsidRPr="00D57736">
      <w:rPr>
        <w:sz w:val="22"/>
        <w:szCs w:val="24"/>
        <w:rtl/>
      </w:rPr>
      <w:t xml:space="preserve"> التدريبية 2015</w:t>
    </w:r>
  </w:p>
  <w:p w14:paraId="184031B5" w14:textId="7957C650" w:rsidR="006372D0" w:rsidRPr="00D57736" w:rsidRDefault="006372D0" w:rsidP="00D57736">
    <w:pPr>
      <w:pStyle w:val="Footer"/>
    </w:pPr>
    <w:bookmarkStart w:id="0" w:name="_GoBack"/>
    <w:bookmarkEnd w:id="0"/>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11F88F" w14:textId="77777777" w:rsidR="001027EA" w:rsidRDefault="001027EA" w:rsidP="002848CC">
      <w:pPr>
        <w:spacing w:before="0"/>
      </w:pPr>
      <w:r>
        <w:separator/>
      </w:r>
    </w:p>
  </w:footnote>
  <w:footnote w:type="continuationSeparator" w:id="0">
    <w:p w14:paraId="114A816F" w14:textId="77777777" w:rsidR="001027EA" w:rsidRDefault="001027EA"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BBB23" w14:textId="5F59F794" w:rsidR="006372D0" w:rsidRPr="004F1D9A" w:rsidRDefault="006372D0" w:rsidP="00891199">
    <w:r w:rsidRPr="007A7ACB">
      <w:t>Handouts</w:t>
    </w:r>
    <w:r>
      <w:tab/>
    </w:r>
    <w:r w:rsidRPr="003E013F">
      <w:rPr>
        <w:noProof/>
        <w:lang w:val="fr-FR" w:eastAsia="fr-FR"/>
      </w:rPr>
      <w:drawing>
        <wp:inline distT="0" distB="0" distL="0" distR="0" wp14:anchorId="4A424C73" wp14:editId="6C7BAAF2">
          <wp:extent cx="1859799" cy="381992"/>
          <wp:effectExtent l="0" t="0" r="0" b="0"/>
          <wp:docPr id="6" name="Picture 6" descr="Files:Current Client:Walkgrove:Sphere:Sphere examples and guidelines:Visual_guidelines_and_materials:HANDBOOK ICONS:Sphere-Project-Logo-Landscape-No-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Current Client:Walkgrove:Sphere:Sphere examples and guidelines:Visual_guidelines_and_materials:HANDBOOK ICONS:Sphere-Project-Logo-Landscape-No-Tagline-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2427" cy="38253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67316" w14:textId="333F8F9F" w:rsidR="006372D0" w:rsidRPr="00742209" w:rsidRDefault="00E10D9D" w:rsidP="00742209">
    <w:pPr>
      <w:pStyle w:val="Header"/>
      <w:jc w:val="right"/>
      <w:rPr>
        <w:sz w:val="32"/>
        <w:szCs w:val="32"/>
      </w:rPr>
    </w:pPr>
    <w:proofErr w:type="gramStart"/>
    <w:r w:rsidRPr="00742209">
      <w:rPr>
        <w:sz w:val="32"/>
        <w:szCs w:val="32"/>
        <w:rtl/>
      </w:rPr>
      <w:t>الم</w:t>
    </w:r>
    <w:r w:rsidR="00742209" w:rsidRPr="00742209">
      <w:rPr>
        <w:rFonts w:hint="cs"/>
        <w:sz w:val="32"/>
        <w:szCs w:val="32"/>
        <w:rtl/>
      </w:rPr>
      <w:t>واد</w:t>
    </w:r>
    <w:proofErr w:type="gramEnd"/>
    <w:r w:rsidRPr="00742209">
      <w:rPr>
        <w:sz w:val="32"/>
        <w:szCs w:val="32"/>
        <w:rtl/>
      </w:rPr>
      <w:t xml:space="preserve"> التدريبية</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9BEF2" w14:textId="53B36F1F" w:rsidR="006C4D79" w:rsidRPr="00E10D9D" w:rsidRDefault="007621A9" w:rsidP="003724FA">
    <w:pPr>
      <w:pStyle w:val="Heading1"/>
      <w:rPr>
        <w:color w:val="579305" w:themeColor="accent1"/>
        <w:rtl/>
      </w:rPr>
    </w:pPr>
    <w:r w:rsidRPr="00E10D9D">
      <w:rPr>
        <w:rtl/>
      </w:rPr>
      <w:t>الجزء "ب"</w:t>
    </w:r>
    <w:r w:rsidR="003724FA">
      <w:rPr>
        <w:rFonts w:hint="cs"/>
        <w:rtl/>
      </w:rPr>
      <w:t xml:space="preserve"> 5</w:t>
    </w:r>
    <w:r w:rsidRPr="00E10D9D">
      <w:rPr>
        <w:rtl/>
      </w:rPr>
      <w:t xml:space="preserve">: </w:t>
    </w:r>
    <w:proofErr w:type="spellStart"/>
    <w:r w:rsidRPr="00E10D9D">
      <w:rPr>
        <w:rtl/>
      </w:rPr>
      <w:t>اسفير</w:t>
    </w:r>
    <w:proofErr w:type="spellEnd"/>
    <w:r w:rsidRPr="00E10D9D">
      <w:rPr>
        <w:rtl/>
      </w:rPr>
      <w:t xml:space="preserve"> والتنسيق</w:t>
    </w:r>
    <w:r w:rsidR="006C4D79" w:rsidRPr="00E10D9D">
      <w:rPr>
        <w:rtl/>
      </w:rPr>
      <w:tab/>
    </w:r>
    <w:r w:rsidR="006C4D79" w:rsidRPr="00E10D9D">
      <w:rPr>
        <w:rFonts w:hint="cs"/>
        <w:color w:val="579305" w:themeColor="accent1"/>
        <w:rtl/>
      </w:rPr>
      <w:t>المواد التدريبية</w:t>
    </w:r>
  </w:p>
  <w:p w14:paraId="3E1679D9" w14:textId="5C773098" w:rsidR="006372D0" w:rsidRPr="00E10D9D" w:rsidRDefault="007621A9" w:rsidP="00E10D9D">
    <w:pPr>
      <w:pStyle w:val="Heading2"/>
      <w:rPr>
        <w:rtl/>
      </w:rPr>
    </w:pPr>
    <w:r w:rsidRPr="00E10D9D">
      <w:rPr>
        <w:rtl/>
      </w:rPr>
      <w:t>كيف يمكنك استخدام دليل اسفير لتسهيل التنسيق الفعال؟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02082DCA"/>
    <w:multiLevelType w:val="hybridMultilevel"/>
    <w:tmpl w:val="C1EAB630"/>
    <w:lvl w:ilvl="0" w:tplc="97CCFBDE">
      <w:start w:val="1"/>
      <w:numFmt w:val="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0D7DD3"/>
    <w:multiLevelType w:val="hybridMultilevel"/>
    <w:tmpl w:val="878EC716"/>
    <w:lvl w:ilvl="0" w:tplc="BD68BE1C">
      <w:start w:val="1"/>
      <w:numFmt w:val="bullet"/>
      <w:pStyle w:val="bullet"/>
      <w:lvlText w:val=""/>
      <w:lvlJc w:val="left"/>
      <w:pPr>
        <w:ind w:left="360" w:hanging="360"/>
      </w:pPr>
      <w:rPr>
        <w:rFonts w:ascii="Symbol" w:hAnsi="Symbol" w:cs="Symbol" w:hint="default"/>
        <w:b w:val="0"/>
        <w:i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25672F"/>
    <w:multiLevelType w:val="hybridMultilevel"/>
    <w:tmpl w:val="1B9820A0"/>
    <w:lvl w:ilvl="0" w:tplc="A6F0BB26">
      <w:start w:val="1"/>
      <w:numFmt w:val="bullet"/>
      <w:pStyle w:val="tablebullet"/>
      <w:lvlText w:val=""/>
      <w:lvlJc w:val="left"/>
      <w:pPr>
        <w:ind w:left="360" w:hanging="360"/>
      </w:pPr>
      <w:rPr>
        <w:rFonts w:ascii="Symbol" w:hAnsi="Symbol" w:cs="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2"/>
  </w:num>
  <w:num w:numId="4">
    <w:abstractNumId w:val="2"/>
  </w:num>
  <w:num w:numId="5">
    <w:abstractNumId w:val="2"/>
  </w:num>
  <w:num w:numId="6">
    <w:abstractNumId w:val="2"/>
  </w:num>
  <w:num w:numId="7">
    <w:abstractNumId w:val="0"/>
  </w:num>
  <w:num w:numId="8">
    <w:abstractNumId w:val="11"/>
  </w:num>
  <w:num w:numId="9">
    <w:abstractNumId w:val="6"/>
  </w:num>
  <w:num w:numId="10">
    <w:abstractNumId w:val="9"/>
  </w:num>
  <w:num w:numId="11">
    <w:abstractNumId w:val="3"/>
  </w:num>
  <w:num w:numId="12">
    <w:abstractNumId w:val="8"/>
  </w:num>
  <w:num w:numId="13">
    <w:abstractNumId w:val="7"/>
  </w:num>
  <w:num w:numId="14">
    <w:abstractNumId w:val="4"/>
  </w:num>
  <w:num w:numId="15">
    <w:abstractNumId w:val="5"/>
  </w:num>
  <w:num w:numId="16">
    <w:abstractNumId w:val="4"/>
  </w:num>
  <w:num w:numId="17">
    <w:abstractNumId w:val="5"/>
  </w:num>
  <w:num w:numId="18">
    <w:abstractNumId w:val="10"/>
  </w:num>
  <w:num w:numId="19">
    <w:abstractNumId w:val="1"/>
  </w:num>
  <w:num w:numId="20">
    <w:abstractNumId w:val="4"/>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8" w:nlCheck="1" w:checkStyle="1"/>
  <w:activeWritingStyle w:appName="MSWord" w:lang="en-GB" w:vendorID="64" w:dllVersion="131078" w:nlCheck="1" w:checkStyle="1"/>
  <w:activeWritingStyle w:appName="MSWord" w:lang="ar-SA" w:vendorID="64" w:dllVersion="131078" w:nlCheck="1" w:checkStyle="0"/>
  <w:activeWritingStyle w:appName="MSWord" w:lang="ar-AE" w:vendorID="64" w:dllVersion="131078" w:nlCheck="1" w:checkStyle="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146"/>
    <w:rsid w:val="000541EE"/>
    <w:rsid w:val="0005651C"/>
    <w:rsid w:val="001027EA"/>
    <w:rsid w:val="0013229F"/>
    <w:rsid w:val="00144112"/>
    <w:rsid w:val="00144E38"/>
    <w:rsid w:val="0015588F"/>
    <w:rsid w:val="0017017B"/>
    <w:rsid w:val="001713BA"/>
    <w:rsid w:val="00171851"/>
    <w:rsid w:val="001740C0"/>
    <w:rsid w:val="00175CA3"/>
    <w:rsid w:val="00184F56"/>
    <w:rsid w:val="001869EC"/>
    <w:rsid w:val="00191584"/>
    <w:rsid w:val="001C6C1A"/>
    <w:rsid w:val="001C7F2F"/>
    <w:rsid w:val="001D0724"/>
    <w:rsid w:val="001D7A65"/>
    <w:rsid w:val="001F7F75"/>
    <w:rsid w:val="00200D4D"/>
    <w:rsid w:val="00205074"/>
    <w:rsid w:val="002201FF"/>
    <w:rsid w:val="0022798A"/>
    <w:rsid w:val="00237D09"/>
    <w:rsid w:val="00241992"/>
    <w:rsid w:val="002848CC"/>
    <w:rsid w:val="002854D6"/>
    <w:rsid w:val="002933E5"/>
    <w:rsid w:val="002958E2"/>
    <w:rsid w:val="002D3B86"/>
    <w:rsid w:val="002F2B87"/>
    <w:rsid w:val="002F74CB"/>
    <w:rsid w:val="0030064E"/>
    <w:rsid w:val="00302FA7"/>
    <w:rsid w:val="00314ADC"/>
    <w:rsid w:val="00315E11"/>
    <w:rsid w:val="00370153"/>
    <w:rsid w:val="003724FA"/>
    <w:rsid w:val="00383257"/>
    <w:rsid w:val="003A4483"/>
    <w:rsid w:val="003C469E"/>
    <w:rsid w:val="003C5331"/>
    <w:rsid w:val="003D60D7"/>
    <w:rsid w:val="003E013F"/>
    <w:rsid w:val="003E2279"/>
    <w:rsid w:val="003E2DB9"/>
    <w:rsid w:val="003F0EB3"/>
    <w:rsid w:val="00405A54"/>
    <w:rsid w:val="00417D21"/>
    <w:rsid w:val="004231C3"/>
    <w:rsid w:val="0043797B"/>
    <w:rsid w:val="0045590B"/>
    <w:rsid w:val="00463DB5"/>
    <w:rsid w:val="004A5F92"/>
    <w:rsid w:val="004B665D"/>
    <w:rsid w:val="004D7062"/>
    <w:rsid w:val="004F1D9A"/>
    <w:rsid w:val="004F4F9D"/>
    <w:rsid w:val="0050225B"/>
    <w:rsid w:val="00514DB7"/>
    <w:rsid w:val="00525A8E"/>
    <w:rsid w:val="005751FD"/>
    <w:rsid w:val="005767DE"/>
    <w:rsid w:val="005F6AEE"/>
    <w:rsid w:val="00601FF7"/>
    <w:rsid w:val="00620E7C"/>
    <w:rsid w:val="0063388A"/>
    <w:rsid w:val="0063519D"/>
    <w:rsid w:val="00637110"/>
    <w:rsid w:val="006372D0"/>
    <w:rsid w:val="00652FB1"/>
    <w:rsid w:val="00666C7C"/>
    <w:rsid w:val="00690F64"/>
    <w:rsid w:val="0069601B"/>
    <w:rsid w:val="006C099B"/>
    <w:rsid w:val="006C4D79"/>
    <w:rsid w:val="006D149B"/>
    <w:rsid w:val="006E74C4"/>
    <w:rsid w:val="006F26B6"/>
    <w:rsid w:val="006F280A"/>
    <w:rsid w:val="007030AE"/>
    <w:rsid w:val="00714CE1"/>
    <w:rsid w:val="00715CA8"/>
    <w:rsid w:val="00731755"/>
    <w:rsid w:val="00742209"/>
    <w:rsid w:val="00761400"/>
    <w:rsid w:val="007621A9"/>
    <w:rsid w:val="00775878"/>
    <w:rsid w:val="00781146"/>
    <w:rsid w:val="00792B8B"/>
    <w:rsid w:val="007A255B"/>
    <w:rsid w:val="007A4412"/>
    <w:rsid w:val="007A7ACB"/>
    <w:rsid w:val="007B3E00"/>
    <w:rsid w:val="007D1ADB"/>
    <w:rsid w:val="007D466E"/>
    <w:rsid w:val="007E479A"/>
    <w:rsid w:val="007F525C"/>
    <w:rsid w:val="00810AFF"/>
    <w:rsid w:val="00811B63"/>
    <w:rsid w:val="00816A31"/>
    <w:rsid w:val="00825D04"/>
    <w:rsid w:val="008260A5"/>
    <w:rsid w:val="008647F3"/>
    <w:rsid w:val="00864FBC"/>
    <w:rsid w:val="008652CA"/>
    <w:rsid w:val="0087787A"/>
    <w:rsid w:val="00891199"/>
    <w:rsid w:val="008B0AAC"/>
    <w:rsid w:val="008B4444"/>
    <w:rsid w:val="008B7D3C"/>
    <w:rsid w:val="008F7DE8"/>
    <w:rsid w:val="0090172B"/>
    <w:rsid w:val="0090692F"/>
    <w:rsid w:val="00925784"/>
    <w:rsid w:val="00937519"/>
    <w:rsid w:val="009516C3"/>
    <w:rsid w:val="00971AD2"/>
    <w:rsid w:val="00981544"/>
    <w:rsid w:val="0098193F"/>
    <w:rsid w:val="00995549"/>
    <w:rsid w:val="0099663D"/>
    <w:rsid w:val="009A1ED1"/>
    <w:rsid w:val="009C3A01"/>
    <w:rsid w:val="009C6C4F"/>
    <w:rsid w:val="009D0066"/>
    <w:rsid w:val="009D6A86"/>
    <w:rsid w:val="009D7027"/>
    <w:rsid w:val="009E270C"/>
    <w:rsid w:val="00A12F35"/>
    <w:rsid w:val="00A42EEB"/>
    <w:rsid w:val="00A46634"/>
    <w:rsid w:val="00A50B2D"/>
    <w:rsid w:val="00A80DF5"/>
    <w:rsid w:val="00A93E89"/>
    <w:rsid w:val="00A95124"/>
    <w:rsid w:val="00AB088B"/>
    <w:rsid w:val="00AD30D2"/>
    <w:rsid w:val="00AF36C0"/>
    <w:rsid w:val="00B105CF"/>
    <w:rsid w:val="00B40995"/>
    <w:rsid w:val="00B572C2"/>
    <w:rsid w:val="00B70E34"/>
    <w:rsid w:val="00B91AAC"/>
    <w:rsid w:val="00BA5A33"/>
    <w:rsid w:val="00BB4611"/>
    <w:rsid w:val="00BD047C"/>
    <w:rsid w:val="00BD239B"/>
    <w:rsid w:val="00BE3D5B"/>
    <w:rsid w:val="00C0309C"/>
    <w:rsid w:val="00C03B74"/>
    <w:rsid w:val="00C32D00"/>
    <w:rsid w:val="00C35B0F"/>
    <w:rsid w:val="00C41E99"/>
    <w:rsid w:val="00C507F3"/>
    <w:rsid w:val="00C51848"/>
    <w:rsid w:val="00C915A4"/>
    <w:rsid w:val="00CE0004"/>
    <w:rsid w:val="00D01404"/>
    <w:rsid w:val="00D064C5"/>
    <w:rsid w:val="00D221A6"/>
    <w:rsid w:val="00D54219"/>
    <w:rsid w:val="00D57736"/>
    <w:rsid w:val="00D90736"/>
    <w:rsid w:val="00D966B6"/>
    <w:rsid w:val="00DD0F73"/>
    <w:rsid w:val="00DE202F"/>
    <w:rsid w:val="00DE210D"/>
    <w:rsid w:val="00DE21D3"/>
    <w:rsid w:val="00DF2534"/>
    <w:rsid w:val="00DF7CD7"/>
    <w:rsid w:val="00E10D9D"/>
    <w:rsid w:val="00E15219"/>
    <w:rsid w:val="00E2620E"/>
    <w:rsid w:val="00E26D30"/>
    <w:rsid w:val="00E45748"/>
    <w:rsid w:val="00E71C66"/>
    <w:rsid w:val="00E7264C"/>
    <w:rsid w:val="00E8474E"/>
    <w:rsid w:val="00EA1F0B"/>
    <w:rsid w:val="00EA5511"/>
    <w:rsid w:val="00EB14C9"/>
    <w:rsid w:val="00ED61A3"/>
    <w:rsid w:val="00EE535D"/>
    <w:rsid w:val="00EE5ED4"/>
    <w:rsid w:val="00EF38C7"/>
    <w:rsid w:val="00F25952"/>
    <w:rsid w:val="00F51600"/>
    <w:rsid w:val="00F52152"/>
    <w:rsid w:val="00F66ABC"/>
    <w:rsid w:val="00F67F82"/>
    <w:rsid w:val="00F97BB3"/>
    <w:rsid w:val="00FA7F78"/>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E03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E10D9D"/>
    <w:pPr>
      <w:keepLines/>
      <w:bidi/>
      <w:spacing w:before="160"/>
    </w:pPr>
    <w:rPr>
      <w:rFonts w:ascii="Traditional Arabic" w:hAnsi="Traditional Arabic" w:cs="Traditional Arabic"/>
      <w:sz w:val="24"/>
      <w:szCs w:val="28"/>
      <w:lang w:val="en-GB" w:eastAsia="es-ES"/>
    </w:rPr>
  </w:style>
  <w:style w:type="paragraph" w:styleId="Heading1">
    <w:name w:val="heading 1"/>
    <w:aliases w:val="h1"/>
    <w:basedOn w:val="Normal"/>
    <w:next w:val="Normal"/>
    <w:link w:val="Heading1Char"/>
    <w:qFormat/>
    <w:rsid w:val="00E10D9D"/>
    <w:pPr>
      <w:keepNext/>
      <w:tabs>
        <w:tab w:val="right" w:pos="9356"/>
      </w:tabs>
      <w:spacing w:before="0"/>
      <w:outlineLvl w:val="0"/>
    </w:pPr>
    <w:rPr>
      <w:rFonts w:eastAsiaTheme="majorEastAsia"/>
      <w:b/>
      <w:bCs/>
      <w:color w:val="004386"/>
      <w:kern w:val="32"/>
      <w:sz w:val="36"/>
      <w:szCs w:val="32"/>
    </w:rPr>
  </w:style>
  <w:style w:type="paragraph" w:styleId="Heading2">
    <w:name w:val="heading 2"/>
    <w:aliases w:val="h2"/>
    <w:basedOn w:val="Heading1"/>
    <w:next w:val="Normal"/>
    <w:link w:val="Heading2Char"/>
    <w:qFormat/>
    <w:rsid w:val="00E10D9D"/>
    <w:pPr>
      <w:pBdr>
        <w:bottom w:val="single" w:sz="4" w:space="4" w:color="004386" w:themeColor="text2"/>
      </w:pBdr>
      <w:spacing w:before="80"/>
      <w:outlineLvl w:val="1"/>
    </w:pPr>
    <w:rPr>
      <w:bCs w:val="0"/>
      <w:i/>
      <w:iCs/>
      <w:color w:val="004386" w:themeColor="text2"/>
    </w:rPr>
  </w:style>
  <w:style w:type="paragraph" w:styleId="Heading3">
    <w:name w:val="heading 3"/>
    <w:aliases w:val="h3"/>
    <w:basedOn w:val="Heading2"/>
    <w:next w:val="Normal"/>
    <w:link w:val="Heading3Char"/>
    <w:qFormat/>
    <w:rsid w:val="00E10D9D"/>
    <w:pPr>
      <w:pBdr>
        <w:bottom w:val="none" w:sz="0" w:space="0" w:color="auto"/>
      </w:pBdr>
      <w:spacing w:before="320"/>
      <w:outlineLvl w:val="2"/>
    </w:pPr>
    <w:rPr>
      <w:bCs/>
      <w:i w:val="0"/>
      <w:iCs w:val="0"/>
      <w:sz w:val="28"/>
      <w:szCs w:val="36"/>
    </w:rPr>
  </w:style>
  <w:style w:type="paragraph" w:styleId="Heading4">
    <w:name w:val="heading 4"/>
    <w:aliases w:val="h4"/>
    <w:basedOn w:val="Heading3"/>
    <w:next w:val="Normal"/>
    <w:link w:val="Heading4Char"/>
    <w:qFormat/>
    <w:rsid w:val="00E10D9D"/>
    <w:pPr>
      <w:spacing w:before="240"/>
      <w:outlineLvl w:val="3"/>
    </w:pPr>
    <w:rPr>
      <w:rFonts w:eastAsia="Traditional Arabic"/>
      <w:szCs w:val="28"/>
    </w:rPr>
  </w:style>
  <w:style w:type="paragraph" w:styleId="Heading5">
    <w:name w:val="heading 5"/>
    <w:basedOn w:val="Normal"/>
    <w:next w:val="Normal"/>
    <w:link w:val="Heading5Char"/>
    <w:qFormat/>
    <w:rsid w:val="00E10D9D"/>
    <w:pPr>
      <w:keepNext/>
      <w:outlineLvl w:val="4"/>
    </w:pPr>
    <w:rPr>
      <w:b/>
      <w:bCs/>
    </w:rPr>
  </w:style>
  <w:style w:type="paragraph" w:styleId="Heading6">
    <w:name w:val="heading 6"/>
    <w:basedOn w:val="Normal"/>
    <w:next w:val="Normal"/>
    <w:link w:val="Heading6Char"/>
    <w:uiPriority w:val="9"/>
    <w:unhideWhenUsed/>
    <w:qFormat/>
    <w:rsid w:val="00E10D9D"/>
    <w:pPr>
      <w:keepNext/>
      <w:spacing w:before="40"/>
      <w:outlineLvl w:val="5"/>
    </w:pPr>
    <w:rPr>
      <w:rFonts w:asciiTheme="majorHAnsi" w:eastAsiaTheme="majorEastAsia" w:hAnsiTheme="majorHAnsi" w:cstheme="majorBidi"/>
      <w:color w:val="2B490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E10D9D"/>
    <w:rPr>
      <w:rFonts w:ascii="Traditional Arabic" w:eastAsiaTheme="majorEastAsia" w:hAnsi="Traditional Arabic" w:cs="Traditional Arabic"/>
      <w:b/>
      <w:bCs/>
      <w:color w:val="004386"/>
      <w:kern w:val="32"/>
      <w:sz w:val="36"/>
      <w:szCs w:val="32"/>
      <w:lang w:val="en-GB" w:eastAsia="es-ES"/>
    </w:rPr>
  </w:style>
  <w:style w:type="character" w:customStyle="1" w:styleId="Heading2Char">
    <w:name w:val="Heading 2 Char"/>
    <w:aliases w:val="h2 Char"/>
    <w:basedOn w:val="DefaultParagraphFont"/>
    <w:link w:val="Heading2"/>
    <w:rsid w:val="00E10D9D"/>
    <w:rPr>
      <w:rFonts w:ascii="Traditional Arabic" w:eastAsiaTheme="majorEastAsia" w:hAnsi="Traditional Arabic" w:cs="Traditional Arabic"/>
      <w:b/>
      <w:i/>
      <w:iCs/>
      <w:color w:val="004386" w:themeColor="text2"/>
      <w:kern w:val="32"/>
      <w:sz w:val="36"/>
      <w:szCs w:val="32"/>
      <w:lang w:val="en-GB" w:eastAsia="es-ES"/>
    </w:rPr>
  </w:style>
  <w:style w:type="character" w:customStyle="1" w:styleId="Heading3Char">
    <w:name w:val="Heading 3 Char"/>
    <w:aliases w:val="h3 Char"/>
    <w:basedOn w:val="DefaultParagraphFont"/>
    <w:link w:val="Heading3"/>
    <w:rsid w:val="00E10D9D"/>
    <w:rPr>
      <w:rFonts w:ascii="Traditional Arabic" w:eastAsiaTheme="majorEastAsia" w:hAnsi="Traditional Arabic" w:cs="Traditional Arabic"/>
      <w:b/>
      <w:bCs/>
      <w:color w:val="004386" w:themeColor="text2"/>
      <w:kern w:val="32"/>
      <w:sz w:val="28"/>
      <w:szCs w:val="36"/>
      <w:lang w:val="en-GB" w:eastAsia="es-ES"/>
    </w:rPr>
  </w:style>
  <w:style w:type="character" w:customStyle="1" w:styleId="Heading4Char">
    <w:name w:val="Heading 4 Char"/>
    <w:aliases w:val="h4 Char"/>
    <w:basedOn w:val="DefaultParagraphFont"/>
    <w:link w:val="Heading4"/>
    <w:rsid w:val="00E10D9D"/>
    <w:rPr>
      <w:rFonts w:ascii="Traditional Arabic" w:eastAsia="Traditional Arabic" w:hAnsi="Traditional Arabic" w:cs="Traditional Arabic"/>
      <w:b/>
      <w:bCs/>
      <w:color w:val="004386" w:themeColor="text2"/>
      <w:kern w:val="32"/>
      <w:sz w:val="28"/>
      <w:szCs w:val="28"/>
      <w:lang w:val="en-GB" w:eastAsia="es-ES"/>
    </w:rPr>
  </w:style>
  <w:style w:type="character" w:customStyle="1" w:styleId="Heading5Char">
    <w:name w:val="Heading 5 Char"/>
    <w:basedOn w:val="DefaultParagraphFont"/>
    <w:link w:val="Heading5"/>
    <w:rsid w:val="00E10D9D"/>
    <w:rPr>
      <w:rFonts w:ascii="Traditional Arabic" w:hAnsi="Traditional Arabic" w:cs="Traditional Arabic"/>
      <w:b/>
      <w:bCs/>
      <w:sz w:val="24"/>
      <w:szCs w:val="28"/>
      <w:lang w:val="en-GB" w:eastAsia="es-ES"/>
    </w:rPr>
  </w:style>
  <w:style w:type="paragraph" w:styleId="BalloonText">
    <w:name w:val="Balloon Text"/>
    <w:basedOn w:val="Normal"/>
    <w:link w:val="BalloonTextChar"/>
    <w:uiPriority w:val="99"/>
    <w:semiHidden/>
    <w:unhideWhenUsed/>
    <w:rsid w:val="00E10D9D"/>
    <w:pPr>
      <w:spacing w:before="0"/>
    </w:pPr>
    <w:rPr>
      <w:rFonts w:cs="Tahoma"/>
      <w:sz w:val="16"/>
      <w:szCs w:val="16"/>
    </w:rPr>
  </w:style>
  <w:style w:type="character" w:customStyle="1" w:styleId="BalloonTextChar">
    <w:name w:val="Balloon Text Char"/>
    <w:basedOn w:val="DefaultParagraphFont"/>
    <w:link w:val="BalloonText"/>
    <w:uiPriority w:val="99"/>
    <w:semiHidden/>
    <w:rsid w:val="00E10D9D"/>
    <w:rPr>
      <w:rFonts w:ascii="Traditional Arabic" w:hAnsi="Traditional Arabic" w:cs="Tahoma"/>
      <w:sz w:val="16"/>
      <w:szCs w:val="16"/>
      <w:lang w:val="en-GB" w:eastAsia="es-ES"/>
    </w:rPr>
  </w:style>
  <w:style w:type="paragraph" w:customStyle="1" w:styleId="bullet">
    <w:name w:val="bullet"/>
    <w:aliases w:val="b"/>
    <w:basedOn w:val="Normal"/>
    <w:qFormat/>
    <w:rsid w:val="00E10D9D"/>
    <w:pPr>
      <w:numPr>
        <w:numId w:val="20"/>
      </w:numPr>
      <w:spacing w:before="80"/>
    </w:pPr>
  </w:style>
  <w:style w:type="paragraph" w:styleId="Caption">
    <w:name w:val="caption"/>
    <w:basedOn w:val="Normal"/>
    <w:next w:val="Normal"/>
    <w:uiPriority w:val="35"/>
    <w:semiHidden/>
    <w:qFormat/>
    <w:rsid w:val="00E10D9D"/>
    <w:pPr>
      <w:spacing w:before="0" w:after="200"/>
    </w:pPr>
    <w:rPr>
      <w:rFonts w:eastAsiaTheme="minorHAnsi" w:cstheme="minorBidi"/>
      <w:b/>
      <w:color w:val="579305" w:themeColor="accent1"/>
      <w:sz w:val="18"/>
      <w:szCs w:val="18"/>
      <w:lang w:eastAsia="en-US"/>
    </w:rPr>
  </w:style>
  <w:style w:type="character" w:styleId="CommentReference">
    <w:name w:val="annotation reference"/>
    <w:basedOn w:val="DefaultParagraphFont"/>
    <w:uiPriority w:val="99"/>
    <w:semiHidden/>
    <w:unhideWhenUsed/>
    <w:rsid w:val="00E10D9D"/>
    <w:rPr>
      <w:sz w:val="16"/>
      <w:szCs w:val="16"/>
    </w:rPr>
  </w:style>
  <w:style w:type="paragraph" w:styleId="CommentText">
    <w:name w:val="annotation text"/>
    <w:basedOn w:val="Normal"/>
    <w:link w:val="CommentTextChar"/>
    <w:uiPriority w:val="99"/>
    <w:semiHidden/>
    <w:unhideWhenUsed/>
    <w:rsid w:val="00E10D9D"/>
    <w:rPr>
      <w:szCs w:val="20"/>
    </w:rPr>
  </w:style>
  <w:style w:type="character" w:customStyle="1" w:styleId="CommentTextChar">
    <w:name w:val="Comment Text Char"/>
    <w:basedOn w:val="DefaultParagraphFont"/>
    <w:link w:val="CommentText"/>
    <w:uiPriority w:val="99"/>
    <w:semiHidden/>
    <w:rsid w:val="00E10D9D"/>
    <w:rPr>
      <w:rFonts w:ascii="Traditional Arabic" w:hAnsi="Traditional Arabic" w:cs="Traditional Arabic"/>
      <w:sz w:val="24"/>
      <w:lang w:val="en-GB" w:eastAsia="es-ES"/>
    </w:rPr>
  </w:style>
  <w:style w:type="paragraph" w:styleId="CommentSubject">
    <w:name w:val="annotation subject"/>
    <w:basedOn w:val="CommentText"/>
    <w:next w:val="CommentText"/>
    <w:link w:val="CommentSubjectChar"/>
    <w:uiPriority w:val="99"/>
    <w:semiHidden/>
    <w:unhideWhenUsed/>
    <w:rsid w:val="00E10D9D"/>
    <w:rPr>
      <w:b/>
    </w:rPr>
  </w:style>
  <w:style w:type="character" w:customStyle="1" w:styleId="CommentSubjectChar">
    <w:name w:val="Comment Subject Char"/>
    <w:basedOn w:val="CommentTextChar"/>
    <w:link w:val="CommentSubject"/>
    <w:uiPriority w:val="99"/>
    <w:semiHidden/>
    <w:rsid w:val="00E10D9D"/>
    <w:rPr>
      <w:rFonts w:ascii="Traditional Arabic" w:hAnsi="Traditional Arabic" w:cs="Traditional Arabic"/>
      <w:b/>
      <w:sz w:val="24"/>
      <w:lang w:val="en-GB" w:eastAsia="es-ES"/>
    </w:rPr>
  </w:style>
  <w:style w:type="character" w:styleId="Emphasis">
    <w:name w:val="Emphasis"/>
    <w:uiPriority w:val="99"/>
    <w:qFormat/>
    <w:rsid w:val="00E10D9D"/>
    <w:rPr>
      <w:b/>
      <w:i w:val="0"/>
      <w:iCs/>
    </w:rPr>
  </w:style>
  <w:style w:type="character" w:styleId="FollowedHyperlink">
    <w:name w:val="FollowedHyperlink"/>
    <w:basedOn w:val="DefaultParagraphFont"/>
    <w:uiPriority w:val="99"/>
    <w:semiHidden/>
    <w:unhideWhenUsed/>
    <w:rsid w:val="00E10D9D"/>
    <w:rPr>
      <w:color w:val="004386"/>
      <w:u w:val="single"/>
    </w:rPr>
  </w:style>
  <w:style w:type="paragraph" w:styleId="Footer">
    <w:name w:val="footer"/>
    <w:basedOn w:val="Normal"/>
    <w:link w:val="FooterChar"/>
    <w:rsid w:val="00E10D9D"/>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rsid w:val="00E10D9D"/>
    <w:rPr>
      <w:rFonts w:ascii="Traditional Arabic" w:hAnsi="Traditional Arabic" w:cs="Traditional Arabic"/>
      <w:color w:val="004386" w:themeColor="text2"/>
      <w:sz w:val="24"/>
      <w:szCs w:val="28"/>
      <w:lang w:val="en-GB" w:eastAsia="es-ES"/>
    </w:rPr>
  </w:style>
  <w:style w:type="character" w:styleId="FootnoteReference">
    <w:name w:val="footnote reference"/>
    <w:basedOn w:val="DefaultParagraphFont"/>
    <w:rsid w:val="00E10D9D"/>
    <w:rPr>
      <w:vertAlign w:val="superscript"/>
    </w:rPr>
  </w:style>
  <w:style w:type="paragraph" w:styleId="FootnoteText">
    <w:name w:val="footnote text"/>
    <w:basedOn w:val="Normal"/>
    <w:link w:val="FootnoteTextChar"/>
    <w:rsid w:val="00E10D9D"/>
    <w:pPr>
      <w:spacing w:before="0"/>
    </w:pPr>
    <w:rPr>
      <w:sz w:val="20"/>
      <w:szCs w:val="20"/>
    </w:rPr>
  </w:style>
  <w:style w:type="character" w:customStyle="1" w:styleId="FootnoteTextChar">
    <w:name w:val="Footnote Text Char"/>
    <w:basedOn w:val="DefaultParagraphFont"/>
    <w:link w:val="FootnoteText"/>
    <w:rsid w:val="00E10D9D"/>
    <w:rPr>
      <w:rFonts w:ascii="Traditional Arabic" w:hAnsi="Traditional Arabic" w:cs="Traditional Arabic"/>
      <w:lang w:val="en-GB" w:eastAsia="es-ES"/>
    </w:rPr>
  </w:style>
  <w:style w:type="paragraph" w:styleId="Header">
    <w:name w:val="header"/>
    <w:basedOn w:val="Normal"/>
    <w:link w:val="HeaderChar"/>
    <w:rsid w:val="00E10D9D"/>
    <w:pPr>
      <w:pBdr>
        <w:bottom w:val="single" w:sz="4" w:space="4" w:color="004386" w:themeColor="text2"/>
      </w:pBdr>
      <w:tabs>
        <w:tab w:val="center" w:pos="4320"/>
        <w:tab w:val="right" w:pos="8640"/>
      </w:tabs>
      <w:spacing w:before="0"/>
    </w:pPr>
    <w:rPr>
      <w:b/>
      <w:bCs/>
      <w:color w:val="579305" w:themeColor="accent1"/>
      <w:sz w:val="28"/>
      <w:lang w:val="fr-FR" w:eastAsia="en-US" w:bidi="ar-TN"/>
    </w:rPr>
  </w:style>
  <w:style w:type="character" w:customStyle="1" w:styleId="HeaderChar">
    <w:name w:val="Header Char"/>
    <w:basedOn w:val="DefaultParagraphFont"/>
    <w:link w:val="Header"/>
    <w:rsid w:val="00E10D9D"/>
    <w:rPr>
      <w:rFonts w:ascii="Traditional Arabic" w:hAnsi="Traditional Arabic" w:cs="Traditional Arabic"/>
      <w:b/>
      <w:bCs/>
      <w:color w:val="579305" w:themeColor="accent1"/>
      <w:sz w:val="28"/>
      <w:szCs w:val="28"/>
      <w:lang w:bidi="ar-TN"/>
    </w:rPr>
  </w:style>
  <w:style w:type="character" w:customStyle="1" w:styleId="Heading6Char">
    <w:name w:val="Heading 6 Char"/>
    <w:basedOn w:val="DefaultParagraphFont"/>
    <w:link w:val="Heading6"/>
    <w:uiPriority w:val="9"/>
    <w:rsid w:val="00E10D9D"/>
    <w:rPr>
      <w:rFonts w:asciiTheme="majorHAnsi" w:eastAsiaTheme="majorEastAsia" w:hAnsiTheme="majorHAnsi" w:cstheme="majorBidi"/>
      <w:color w:val="2B4902" w:themeColor="accent1" w:themeShade="7F"/>
      <w:sz w:val="24"/>
      <w:szCs w:val="28"/>
      <w:lang w:val="en-GB" w:eastAsia="es-ES"/>
    </w:rPr>
  </w:style>
  <w:style w:type="character" w:styleId="Hyperlink">
    <w:name w:val="Hyperlink"/>
    <w:basedOn w:val="DefaultParagraphFont"/>
    <w:rsid w:val="00E10D9D"/>
    <w:rPr>
      <w:color w:val="004386" w:themeColor="hyperlink"/>
      <w:u w:val="single" w:color="004386" w:themeColor="text2"/>
    </w:rPr>
  </w:style>
  <w:style w:type="paragraph" w:customStyle="1" w:styleId="table">
    <w:name w:val="table"/>
    <w:aliases w:val="t"/>
    <w:basedOn w:val="Normal"/>
    <w:qFormat/>
    <w:rsid w:val="00BA5A33"/>
    <w:pPr>
      <w:spacing w:before="40" w:after="40" w:line="216" w:lineRule="auto"/>
    </w:pPr>
    <w:rPr>
      <w:sz w:val="22"/>
    </w:rPr>
  </w:style>
  <w:style w:type="paragraph" w:customStyle="1" w:styleId="Latinurl">
    <w:name w:val="Latin url"/>
    <w:basedOn w:val="table"/>
    <w:qFormat/>
    <w:rsid w:val="00E10D9D"/>
    <w:rPr>
      <w:rFonts w:ascii="Calibri" w:hAnsi="Calibri"/>
      <w:szCs w:val="22"/>
    </w:rPr>
  </w:style>
  <w:style w:type="paragraph" w:styleId="ListParagraph">
    <w:name w:val="List Paragraph"/>
    <w:basedOn w:val="Normal"/>
    <w:uiPriority w:val="34"/>
    <w:qFormat/>
    <w:rsid w:val="00E10D9D"/>
    <w:pPr>
      <w:ind w:left="720"/>
      <w:contextualSpacing/>
    </w:pPr>
  </w:style>
  <w:style w:type="paragraph" w:customStyle="1" w:styleId="Moduledescription">
    <w:name w:val="Module description"/>
    <w:basedOn w:val="Normal"/>
    <w:qFormat/>
    <w:rsid w:val="00E10D9D"/>
    <w:rPr>
      <w:b/>
      <w:bCs/>
      <w:color w:val="579305" w:themeColor="accent1"/>
    </w:rPr>
  </w:style>
  <w:style w:type="character" w:styleId="PageNumber">
    <w:name w:val="page number"/>
    <w:basedOn w:val="DefaultParagraphFont"/>
    <w:uiPriority w:val="99"/>
    <w:semiHidden/>
    <w:unhideWhenUsed/>
    <w:rsid w:val="00E10D9D"/>
    <w:rPr>
      <w:rFonts w:asciiTheme="minorHAnsi" w:hAnsiTheme="minorHAnsi"/>
    </w:rPr>
  </w:style>
  <w:style w:type="paragraph" w:customStyle="1" w:styleId="tablebullet">
    <w:name w:val="table bullet"/>
    <w:basedOn w:val="table"/>
    <w:qFormat/>
    <w:rsid w:val="00E10D9D"/>
    <w:pPr>
      <w:numPr>
        <w:numId w:val="21"/>
      </w:numPr>
      <w:spacing w:after="0"/>
    </w:pPr>
  </w:style>
  <w:style w:type="table" w:styleId="TableGrid">
    <w:name w:val="Table Grid"/>
    <w:basedOn w:val="TableNormal"/>
    <w:uiPriority w:val="59"/>
    <w:rsid w:val="00E10D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aliases w:val="th"/>
    <w:basedOn w:val="table"/>
    <w:qFormat/>
    <w:rsid w:val="00E10D9D"/>
    <w:rPr>
      <w:b/>
      <w:bCs/>
      <w:color w:val="004386" w:themeColor="text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E10D9D"/>
    <w:pPr>
      <w:keepLines/>
      <w:bidi/>
      <w:spacing w:before="160"/>
    </w:pPr>
    <w:rPr>
      <w:rFonts w:ascii="Traditional Arabic" w:hAnsi="Traditional Arabic" w:cs="Traditional Arabic"/>
      <w:sz w:val="24"/>
      <w:szCs w:val="28"/>
      <w:lang w:val="en-GB" w:eastAsia="es-ES"/>
    </w:rPr>
  </w:style>
  <w:style w:type="paragraph" w:styleId="Heading1">
    <w:name w:val="heading 1"/>
    <w:aliases w:val="h1"/>
    <w:basedOn w:val="Normal"/>
    <w:next w:val="Normal"/>
    <w:link w:val="Heading1Char"/>
    <w:qFormat/>
    <w:rsid w:val="00E10D9D"/>
    <w:pPr>
      <w:keepNext/>
      <w:tabs>
        <w:tab w:val="right" w:pos="9356"/>
      </w:tabs>
      <w:spacing w:before="0"/>
      <w:outlineLvl w:val="0"/>
    </w:pPr>
    <w:rPr>
      <w:rFonts w:eastAsiaTheme="majorEastAsia"/>
      <w:b/>
      <w:bCs/>
      <w:color w:val="004386"/>
      <w:kern w:val="32"/>
      <w:sz w:val="36"/>
      <w:szCs w:val="32"/>
    </w:rPr>
  </w:style>
  <w:style w:type="paragraph" w:styleId="Heading2">
    <w:name w:val="heading 2"/>
    <w:aliases w:val="h2"/>
    <w:basedOn w:val="Heading1"/>
    <w:next w:val="Normal"/>
    <w:link w:val="Heading2Char"/>
    <w:qFormat/>
    <w:rsid w:val="00E10D9D"/>
    <w:pPr>
      <w:pBdr>
        <w:bottom w:val="single" w:sz="4" w:space="4" w:color="004386" w:themeColor="text2"/>
      </w:pBdr>
      <w:spacing w:before="80"/>
      <w:outlineLvl w:val="1"/>
    </w:pPr>
    <w:rPr>
      <w:bCs w:val="0"/>
      <w:i/>
      <w:iCs/>
      <w:color w:val="004386" w:themeColor="text2"/>
    </w:rPr>
  </w:style>
  <w:style w:type="paragraph" w:styleId="Heading3">
    <w:name w:val="heading 3"/>
    <w:aliases w:val="h3"/>
    <w:basedOn w:val="Heading2"/>
    <w:next w:val="Normal"/>
    <w:link w:val="Heading3Char"/>
    <w:qFormat/>
    <w:rsid w:val="00E10D9D"/>
    <w:pPr>
      <w:pBdr>
        <w:bottom w:val="none" w:sz="0" w:space="0" w:color="auto"/>
      </w:pBdr>
      <w:spacing w:before="320"/>
      <w:outlineLvl w:val="2"/>
    </w:pPr>
    <w:rPr>
      <w:bCs/>
      <w:i w:val="0"/>
      <w:iCs w:val="0"/>
      <w:sz w:val="28"/>
      <w:szCs w:val="36"/>
    </w:rPr>
  </w:style>
  <w:style w:type="paragraph" w:styleId="Heading4">
    <w:name w:val="heading 4"/>
    <w:aliases w:val="h4"/>
    <w:basedOn w:val="Heading3"/>
    <w:next w:val="Normal"/>
    <w:link w:val="Heading4Char"/>
    <w:qFormat/>
    <w:rsid w:val="00E10D9D"/>
    <w:pPr>
      <w:spacing w:before="240"/>
      <w:outlineLvl w:val="3"/>
    </w:pPr>
    <w:rPr>
      <w:rFonts w:eastAsia="Traditional Arabic"/>
      <w:szCs w:val="28"/>
    </w:rPr>
  </w:style>
  <w:style w:type="paragraph" w:styleId="Heading5">
    <w:name w:val="heading 5"/>
    <w:basedOn w:val="Normal"/>
    <w:next w:val="Normal"/>
    <w:link w:val="Heading5Char"/>
    <w:qFormat/>
    <w:rsid w:val="00E10D9D"/>
    <w:pPr>
      <w:keepNext/>
      <w:outlineLvl w:val="4"/>
    </w:pPr>
    <w:rPr>
      <w:b/>
      <w:bCs/>
    </w:rPr>
  </w:style>
  <w:style w:type="paragraph" w:styleId="Heading6">
    <w:name w:val="heading 6"/>
    <w:basedOn w:val="Normal"/>
    <w:next w:val="Normal"/>
    <w:link w:val="Heading6Char"/>
    <w:uiPriority w:val="9"/>
    <w:unhideWhenUsed/>
    <w:qFormat/>
    <w:rsid w:val="00E10D9D"/>
    <w:pPr>
      <w:keepNext/>
      <w:spacing w:before="40"/>
      <w:outlineLvl w:val="5"/>
    </w:pPr>
    <w:rPr>
      <w:rFonts w:asciiTheme="majorHAnsi" w:eastAsiaTheme="majorEastAsia" w:hAnsiTheme="majorHAnsi" w:cstheme="majorBidi"/>
      <w:color w:val="2B490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E10D9D"/>
    <w:rPr>
      <w:rFonts w:ascii="Traditional Arabic" w:eastAsiaTheme="majorEastAsia" w:hAnsi="Traditional Arabic" w:cs="Traditional Arabic"/>
      <w:b/>
      <w:bCs/>
      <w:color w:val="004386"/>
      <w:kern w:val="32"/>
      <w:sz w:val="36"/>
      <w:szCs w:val="32"/>
      <w:lang w:val="en-GB" w:eastAsia="es-ES"/>
    </w:rPr>
  </w:style>
  <w:style w:type="character" w:customStyle="1" w:styleId="Heading2Char">
    <w:name w:val="Heading 2 Char"/>
    <w:aliases w:val="h2 Char"/>
    <w:basedOn w:val="DefaultParagraphFont"/>
    <w:link w:val="Heading2"/>
    <w:rsid w:val="00E10D9D"/>
    <w:rPr>
      <w:rFonts w:ascii="Traditional Arabic" w:eastAsiaTheme="majorEastAsia" w:hAnsi="Traditional Arabic" w:cs="Traditional Arabic"/>
      <w:b/>
      <w:i/>
      <w:iCs/>
      <w:color w:val="004386" w:themeColor="text2"/>
      <w:kern w:val="32"/>
      <w:sz w:val="36"/>
      <w:szCs w:val="32"/>
      <w:lang w:val="en-GB" w:eastAsia="es-ES"/>
    </w:rPr>
  </w:style>
  <w:style w:type="character" w:customStyle="1" w:styleId="Heading3Char">
    <w:name w:val="Heading 3 Char"/>
    <w:aliases w:val="h3 Char"/>
    <w:basedOn w:val="DefaultParagraphFont"/>
    <w:link w:val="Heading3"/>
    <w:rsid w:val="00E10D9D"/>
    <w:rPr>
      <w:rFonts w:ascii="Traditional Arabic" w:eastAsiaTheme="majorEastAsia" w:hAnsi="Traditional Arabic" w:cs="Traditional Arabic"/>
      <w:b/>
      <w:bCs/>
      <w:color w:val="004386" w:themeColor="text2"/>
      <w:kern w:val="32"/>
      <w:sz w:val="28"/>
      <w:szCs w:val="36"/>
      <w:lang w:val="en-GB" w:eastAsia="es-ES"/>
    </w:rPr>
  </w:style>
  <w:style w:type="character" w:customStyle="1" w:styleId="Heading4Char">
    <w:name w:val="Heading 4 Char"/>
    <w:aliases w:val="h4 Char"/>
    <w:basedOn w:val="DefaultParagraphFont"/>
    <w:link w:val="Heading4"/>
    <w:rsid w:val="00E10D9D"/>
    <w:rPr>
      <w:rFonts w:ascii="Traditional Arabic" w:eastAsia="Traditional Arabic" w:hAnsi="Traditional Arabic" w:cs="Traditional Arabic"/>
      <w:b/>
      <w:bCs/>
      <w:color w:val="004386" w:themeColor="text2"/>
      <w:kern w:val="32"/>
      <w:sz w:val="28"/>
      <w:szCs w:val="28"/>
      <w:lang w:val="en-GB" w:eastAsia="es-ES"/>
    </w:rPr>
  </w:style>
  <w:style w:type="character" w:customStyle="1" w:styleId="Heading5Char">
    <w:name w:val="Heading 5 Char"/>
    <w:basedOn w:val="DefaultParagraphFont"/>
    <w:link w:val="Heading5"/>
    <w:rsid w:val="00E10D9D"/>
    <w:rPr>
      <w:rFonts w:ascii="Traditional Arabic" w:hAnsi="Traditional Arabic" w:cs="Traditional Arabic"/>
      <w:b/>
      <w:bCs/>
      <w:sz w:val="24"/>
      <w:szCs w:val="28"/>
      <w:lang w:val="en-GB" w:eastAsia="es-ES"/>
    </w:rPr>
  </w:style>
  <w:style w:type="paragraph" w:styleId="BalloonText">
    <w:name w:val="Balloon Text"/>
    <w:basedOn w:val="Normal"/>
    <w:link w:val="BalloonTextChar"/>
    <w:uiPriority w:val="99"/>
    <w:semiHidden/>
    <w:unhideWhenUsed/>
    <w:rsid w:val="00E10D9D"/>
    <w:pPr>
      <w:spacing w:before="0"/>
    </w:pPr>
    <w:rPr>
      <w:rFonts w:cs="Tahoma"/>
      <w:sz w:val="16"/>
      <w:szCs w:val="16"/>
    </w:rPr>
  </w:style>
  <w:style w:type="character" w:customStyle="1" w:styleId="BalloonTextChar">
    <w:name w:val="Balloon Text Char"/>
    <w:basedOn w:val="DefaultParagraphFont"/>
    <w:link w:val="BalloonText"/>
    <w:uiPriority w:val="99"/>
    <w:semiHidden/>
    <w:rsid w:val="00E10D9D"/>
    <w:rPr>
      <w:rFonts w:ascii="Traditional Arabic" w:hAnsi="Traditional Arabic" w:cs="Tahoma"/>
      <w:sz w:val="16"/>
      <w:szCs w:val="16"/>
      <w:lang w:val="en-GB" w:eastAsia="es-ES"/>
    </w:rPr>
  </w:style>
  <w:style w:type="paragraph" w:customStyle="1" w:styleId="bullet">
    <w:name w:val="bullet"/>
    <w:aliases w:val="b"/>
    <w:basedOn w:val="Normal"/>
    <w:qFormat/>
    <w:rsid w:val="00E10D9D"/>
    <w:pPr>
      <w:numPr>
        <w:numId w:val="20"/>
      </w:numPr>
      <w:spacing w:before="80"/>
    </w:pPr>
  </w:style>
  <w:style w:type="paragraph" w:styleId="Caption">
    <w:name w:val="caption"/>
    <w:basedOn w:val="Normal"/>
    <w:next w:val="Normal"/>
    <w:uiPriority w:val="35"/>
    <w:semiHidden/>
    <w:qFormat/>
    <w:rsid w:val="00E10D9D"/>
    <w:pPr>
      <w:spacing w:before="0" w:after="200"/>
    </w:pPr>
    <w:rPr>
      <w:rFonts w:eastAsiaTheme="minorHAnsi" w:cstheme="minorBidi"/>
      <w:b/>
      <w:color w:val="579305" w:themeColor="accent1"/>
      <w:sz w:val="18"/>
      <w:szCs w:val="18"/>
      <w:lang w:eastAsia="en-US"/>
    </w:rPr>
  </w:style>
  <w:style w:type="character" w:styleId="CommentReference">
    <w:name w:val="annotation reference"/>
    <w:basedOn w:val="DefaultParagraphFont"/>
    <w:uiPriority w:val="99"/>
    <w:semiHidden/>
    <w:unhideWhenUsed/>
    <w:rsid w:val="00E10D9D"/>
    <w:rPr>
      <w:sz w:val="16"/>
      <w:szCs w:val="16"/>
    </w:rPr>
  </w:style>
  <w:style w:type="paragraph" w:styleId="CommentText">
    <w:name w:val="annotation text"/>
    <w:basedOn w:val="Normal"/>
    <w:link w:val="CommentTextChar"/>
    <w:uiPriority w:val="99"/>
    <w:semiHidden/>
    <w:unhideWhenUsed/>
    <w:rsid w:val="00E10D9D"/>
    <w:rPr>
      <w:szCs w:val="20"/>
    </w:rPr>
  </w:style>
  <w:style w:type="character" w:customStyle="1" w:styleId="CommentTextChar">
    <w:name w:val="Comment Text Char"/>
    <w:basedOn w:val="DefaultParagraphFont"/>
    <w:link w:val="CommentText"/>
    <w:uiPriority w:val="99"/>
    <w:semiHidden/>
    <w:rsid w:val="00E10D9D"/>
    <w:rPr>
      <w:rFonts w:ascii="Traditional Arabic" w:hAnsi="Traditional Arabic" w:cs="Traditional Arabic"/>
      <w:sz w:val="24"/>
      <w:lang w:val="en-GB" w:eastAsia="es-ES"/>
    </w:rPr>
  </w:style>
  <w:style w:type="paragraph" w:styleId="CommentSubject">
    <w:name w:val="annotation subject"/>
    <w:basedOn w:val="CommentText"/>
    <w:next w:val="CommentText"/>
    <w:link w:val="CommentSubjectChar"/>
    <w:uiPriority w:val="99"/>
    <w:semiHidden/>
    <w:unhideWhenUsed/>
    <w:rsid w:val="00E10D9D"/>
    <w:rPr>
      <w:b/>
    </w:rPr>
  </w:style>
  <w:style w:type="character" w:customStyle="1" w:styleId="CommentSubjectChar">
    <w:name w:val="Comment Subject Char"/>
    <w:basedOn w:val="CommentTextChar"/>
    <w:link w:val="CommentSubject"/>
    <w:uiPriority w:val="99"/>
    <w:semiHidden/>
    <w:rsid w:val="00E10D9D"/>
    <w:rPr>
      <w:rFonts w:ascii="Traditional Arabic" w:hAnsi="Traditional Arabic" w:cs="Traditional Arabic"/>
      <w:b/>
      <w:sz w:val="24"/>
      <w:lang w:val="en-GB" w:eastAsia="es-ES"/>
    </w:rPr>
  </w:style>
  <w:style w:type="character" w:styleId="Emphasis">
    <w:name w:val="Emphasis"/>
    <w:uiPriority w:val="99"/>
    <w:qFormat/>
    <w:rsid w:val="00E10D9D"/>
    <w:rPr>
      <w:b/>
      <w:i w:val="0"/>
      <w:iCs/>
    </w:rPr>
  </w:style>
  <w:style w:type="character" w:styleId="FollowedHyperlink">
    <w:name w:val="FollowedHyperlink"/>
    <w:basedOn w:val="DefaultParagraphFont"/>
    <w:uiPriority w:val="99"/>
    <w:semiHidden/>
    <w:unhideWhenUsed/>
    <w:rsid w:val="00E10D9D"/>
    <w:rPr>
      <w:color w:val="004386"/>
      <w:u w:val="single"/>
    </w:rPr>
  </w:style>
  <w:style w:type="paragraph" w:styleId="Footer">
    <w:name w:val="footer"/>
    <w:basedOn w:val="Normal"/>
    <w:link w:val="FooterChar"/>
    <w:rsid w:val="00E10D9D"/>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rsid w:val="00E10D9D"/>
    <w:rPr>
      <w:rFonts w:ascii="Traditional Arabic" w:hAnsi="Traditional Arabic" w:cs="Traditional Arabic"/>
      <w:color w:val="004386" w:themeColor="text2"/>
      <w:sz w:val="24"/>
      <w:szCs w:val="28"/>
      <w:lang w:val="en-GB" w:eastAsia="es-ES"/>
    </w:rPr>
  </w:style>
  <w:style w:type="character" w:styleId="FootnoteReference">
    <w:name w:val="footnote reference"/>
    <w:basedOn w:val="DefaultParagraphFont"/>
    <w:rsid w:val="00E10D9D"/>
    <w:rPr>
      <w:vertAlign w:val="superscript"/>
    </w:rPr>
  </w:style>
  <w:style w:type="paragraph" w:styleId="FootnoteText">
    <w:name w:val="footnote text"/>
    <w:basedOn w:val="Normal"/>
    <w:link w:val="FootnoteTextChar"/>
    <w:rsid w:val="00E10D9D"/>
    <w:pPr>
      <w:spacing w:before="0"/>
    </w:pPr>
    <w:rPr>
      <w:sz w:val="20"/>
      <w:szCs w:val="20"/>
    </w:rPr>
  </w:style>
  <w:style w:type="character" w:customStyle="1" w:styleId="FootnoteTextChar">
    <w:name w:val="Footnote Text Char"/>
    <w:basedOn w:val="DefaultParagraphFont"/>
    <w:link w:val="FootnoteText"/>
    <w:rsid w:val="00E10D9D"/>
    <w:rPr>
      <w:rFonts w:ascii="Traditional Arabic" w:hAnsi="Traditional Arabic" w:cs="Traditional Arabic"/>
      <w:lang w:val="en-GB" w:eastAsia="es-ES"/>
    </w:rPr>
  </w:style>
  <w:style w:type="paragraph" w:styleId="Header">
    <w:name w:val="header"/>
    <w:basedOn w:val="Normal"/>
    <w:link w:val="HeaderChar"/>
    <w:rsid w:val="00E10D9D"/>
    <w:pPr>
      <w:pBdr>
        <w:bottom w:val="single" w:sz="4" w:space="4" w:color="004386" w:themeColor="text2"/>
      </w:pBdr>
      <w:tabs>
        <w:tab w:val="center" w:pos="4320"/>
        <w:tab w:val="right" w:pos="8640"/>
      </w:tabs>
      <w:spacing w:before="0"/>
    </w:pPr>
    <w:rPr>
      <w:b/>
      <w:bCs/>
      <w:color w:val="579305" w:themeColor="accent1"/>
      <w:sz w:val="28"/>
      <w:lang w:val="fr-FR" w:eastAsia="en-US" w:bidi="ar-TN"/>
    </w:rPr>
  </w:style>
  <w:style w:type="character" w:customStyle="1" w:styleId="HeaderChar">
    <w:name w:val="Header Char"/>
    <w:basedOn w:val="DefaultParagraphFont"/>
    <w:link w:val="Header"/>
    <w:rsid w:val="00E10D9D"/>
    <w:rPr>
      <w:rFonts w:ascii="Traditional Arabic" w:hAnsi="Traditional Arabic" w:cs="Traditional Arabic"/>
      <w:b/>
      <w:bCs/>
      <w:color w:val="579305" w:themeColor="accent1"/>
      <w:sz w:val="28"/>
      <w:szCs w:val="28"/>
      <w:lang w:bidi="ar-TN"/>
    </w:rPr>
  </w:style>
  <w:style w:type="character" w:customStyle="1" w:styleId="Heading6Char">
    <w:name w:val="Heading 6 Char"/>
    <w:basedOn w:val="DefaultParagraphFont"/>
    <w:link w:val="Heading6"/>
    <w:uiPriority w:val="9"/>
    <w:rsid w:val="00E10D9D"/>
    <w:rPr>
      <w:rFonts w:asciiTheme="majorHAnsi" w:eastAsiaTheme="majorEastAsia" w:hAnsiTheme="majorHAnsi" w:cstheme="majorBidi"/>
      <w:color w:val="2B4902" w:themeColor="accent1" w:themeShade="7F"/>
      <w:sz w:val="24"/>
      <w:szCs w:val="28"/>
      <w:lang w:val="en-GB" w:eastAsia="es-ES"/>
    </w:rPr>
  </w:style>
  <w:style w:type="character" w:styleId="Hyperlink">
    <w:name w:val="Hyperlink"/>
    <w:basedOn w:val="DefaultParagraphFont"/>
    <w:rsid w:val="00E10D9D"/>
    <w:rPr>
      <w:color w:val="004386" w:themeColor="hyperlink"/>
      <w:u w:val="single" w:color="004386" w:themeColor="text2"/>
    </w:rPr>
  </w:style>
  <w:style w:type="paragraph" w:customStyle="1" w:styleId="table">
    <w:name w:val="table"/>
    <w:aliases w:val="t"/>
    <w:basedOn w:val="Normal"/>
    <w:qFormat/>
    <w:rsid w:val="00BA5A33"/>
    <w:pPr>
      <w:spacing w:before="40" w:after="40" w:line="216" w:lineRule="auto"/>
    </w:pPr>
    <w:rPr>
      <w:sz w:val="22"/>
    </w:rPr>
  </w:style>
  <w:style w:type="paragraph" w:customStyle="1" w:styleId="Latinurl">
    <w:name w:val="Latin url"/>
    <w:basedOn w:val="table"/>
    <w:qFormat/>
    <w:rsid w:val="00E10D9D"/>
    <w:rPr>
      <w:rFonts w:ascii="Calibri" w:hAnsi="Calibri"/>
      <w:szCs w:val="22"/>
    </w:rPr>
  </w:style>
  <w:style w:type="paragraph" w:styleId="ListParagraph">
    <w:name w:val="List Paragraph"/>
    <w:basedOn w:val="Normal"/>
    <w:uiPriority w:val="34"/>
    <w:qFormat/>
    <w:rsid w:val="00E10D9D"/>
    <w:pPr>
      <w:ind w:left="720"/>
      <w:contextualSpacing/>
    </w:pPr>
  </w:style>
  <w:style w:type="paragraph" w:customStyle="1" w:styleId="Moduledescription">
    <w:name w:val="Module description"/>
    <w:basedOn w:val="Normal"/>
    <w:qFormat/>
    <w:rsid w:val="00E10D9D"/>
    <w:rPr>
      <w:b/>
      <w:bCs/>
      <w:color w:val="579305" w:themeColor="accent1"/>
    </w:rPr>
  </w:style>
  <w:style w:type="character" w:styleId="PageNumber">
    <w:name w:val="page number"/>
    <w:basedOn w:val="DefaultParagraphFont"/>
    <w:uiPriority w:val="99"/>
    <w:semiHidden/>
    <w:unhideWhenUsed/>
    <w:rsid w:val="00E10D9D"/>
    <w:rPr>
      <w:rFonts w:asciiTheme="minorHAnsi" w:hAnsiTheme="minorHAnsi"/>
    </w:rPr>
  </w:style>
  <w:style w:type="paragraph" w:customStyle="1" w:styleId="tablebullet">
    <w:name w:val="table bullet"/>
    <w:basedOn w:val="table"/>
    <w:qFormat/>
    <w:rsid w:val="00E10D9D"/>
    <w:pPr>
      <w:numPr>
        <w:numId w:val="21"/>
      </w:numPr>
      <w:spacing w:after="0"/>
    </w:pPr>
  </w:style>
  <w:style w:type="table" w:styleId="TableGrid">
    <w:name w:val="Table Grid"/>
    <w:basedOn w:val="TableNormal"/>
    <w:uiPriority w:val="59"/>
    <w:rsid w:val="00E10D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aliases w:val="th"/>
    <w:basedOn w:val="table"/>
    <w:qFormat/>
    <w:rsid w:val="00E10D9D"/>
    <w:rPr>
      <w:b/>
      <w:bCs/>
      <w:color w:val="004386"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buildingabetterResponse.org" TargetMode="External"/><Relationship Id="rId4" Type="http://schemas.microsoft.com/office/2007/relationships/stylesWithEffects" Target="stylesWithEffects.xml"/><Relationship Id="rId9" Type="http://schemas.openxmlformats.org/officeDocument/2006/relationships/hyperlink" Target="http://www.odihpn.org/humanitarian-exchange-magazine/issue-53/the-sphere-project-taking-stock"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phere Arabic theme">
  <a:themeElements>
    <a:clrScheme name="Sphere Arabic">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Sphere Arabic">
      <a:majorFont>
        <a:latin typeface="Traditional Arabic"/>
        <a:ea typeface=""/>
        <a:cs typeface="Traditional Arabic"/>
      </a:majorFont>
      <a:minorFont>
        <a:latin typeface="Traditional Arabic"/>
        <a:ea typeface=""/>
        <a:cs typeface="Traditional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xmlns="" name="Sphere Arabic theme" id="{DFEDC460-151B-473B-8E2A-FB5C82895DBF}" vid="{2DAC1FF5-906F-45A3-8387-16476CB61BC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A03E2F-C82C-4938-B308-2CEF2FB53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1192</Words>
  <Characters>6558</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7735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2015-01-05T09:17:00Z</cp:lastPrinted>
  <dcterms:created xsi:type="dcterms:W3CDTF">2015-04-28T14:13:00Z</dcterms:created>
  <dcterms:modified xsi:type="dcterms:W3CDTF">2015-05-25T10:53:00Z</dcterms:modified>
</cp:coreProperties>
</file>